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32" w:rsidRDefault="00B459E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w:t>
      </w:r>
      <w:r w:rsidR="00746FD3">
        <w:rPr>
          <w:rFonts w:ascii="方正小标宋_GBK" w:eastAsia="方正小标宋_GBK" w:hAnsi="方正小标宋_GBK" w:cs="方正小标宋_GBK" w:hint="eastAsia"/>
          <w:sz w:val="36"/>
          <w:szCs w:val="36"/>
        </w:rPr>
        <w:t>大数据事务中心</w:t>
      </w:r>
    </w:p>
    <w:p w:rsidR="00B52232" w:rsidRDefault="00B459EB">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2025年部门预算情况说明</w:t>
      </w:r>
    </w:p>
    <w:p w:rsidR="00B52232" w:rsidRDefault="00B52232"/>
    <w:p w:rsidR="00175A32" w:rsidRDefault="00B459EB" w:rsidP="00175A32">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单位基本情况</w:t>
      </w:r>
    </w:p>
    <w:p w:rsidR="00B52232" w:rsidRPr="00175A32" w:rsidRDefault="00B459EB" w:rsidP="00175A32">
      <w:pPr>
        <w:ind w:firstLineChars="200" w:firstLine="640"/>
        <w:rPr>
          <w:rFonts w:ascii="方正黑体_GBK" w:eastAsia="方正黑体_GBK" w:hAnsi="方正黑体_GBK" w:cs="方正黑体_GBK"/>
          <w:sz w:val="32"/>
          <w:szCs w:val="32"/>
        </w:rPr>
      </w:pPr>
      <w:r w:rsidRPr="00175A32">
        <w:rPr>
          <w:rFonts w:ascii="方正楷体_GBK" w:eastAsia="方正楷体_GBK" w:hAnsi="方正仿宋_GBK" w:cs="方正仿宋_GBK" w:hint="eastAsia"/>
          <w:sz w:val="32"/>
          <w:szCs w:val="32"/>
        </w:rPr>
        <w:t>（一）职能职责</w:t>
      </w:r>
    </w:p>
    <w:p w:rsidR="00B52232" w:rsidRDefault="00B459EB">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1.贯彻执行国家、市县有关大数据应用、人工智能和信息 化发展的规章、方针政策，及其行业技术规范和标准。2.承担编制全县大数据、人工智能、信息化的发展规划和 年度计划的事务性工作。3. 负责推动全县政务数据采集汇聚、登记管理、共享开放 和社会数据汇聚融合、互联互通、资源共享。负责推动数据资 源的流通交易。负责推动社会公共信息资源整合和应用。指导 推动全县数据安全体系建设工作。4. 负责全县大数据应用发展管理的事务性工作。指导推动 大数据、人工智能等新一代信息技术和国民经济各领域融合应 用。指导推动大数据、人工智能等产学研用结合和向新兴领域 发展。5. 负责推动全县信息化应用服务的事务性工作，指导服务 全县智慧城市建设和跨部门、跨行业、跨领域的信息化应用发 展。</w:t>
      </w:r>
      <w:r>
        <w:rPr>
          <w:rFonts w:ascii="方正仿宋_GBK" w:eastAsia="方正仿宋_GBK" w:hAnsi="方正仿宋_GBK" w:cs="方正仿宋_GBK" w:hint="eastAsia"/>
          <w:spacing w:val="17"/>
          <w:sz w:val="32"/>
          <w:szCs w:val="32"/>
        </w:rPr>
        <w:t>6.负责全县数据中心规划编制及实施的事务性工作。</w:t>
      </w:r>
      <w:r>
        <w:rPr>
          <w:rFonts w:ascii="方正仿宋_GBK" w:eastAsia="方正仿宋_GBK" w:hAnsi="方正仿宋_GBK" w:cs="方正仿宋_GBK" w:hint="eastAsia"/>
          <w:spacing w:val="16"/>
          <w:sz w:val="32"/>
          <w:szCs w:val="32"/>
        </w:rPr>
        <w:t>指导</w:t>
      </w:r>
      <w:r>
        <w:rPr>
          <w:rFonts w:ascii="方正仿宋_GBK" w:eastAsia="方正仿宋_GBK" w:hAnsi="方正仿宋_GBK" w:cs="方正仿宋_GBK" w:hint="eastAsia"/>
          <w:spacing w:val="13"/>
          <w:sz w:val="32"/>
          <w:szCs w:val="32"/>
        </w:rPr>
        <w:t>推动全县政务信息系统“上云”、下一代</w:t>
      </w:r>
      <w:r>
        <w:rPr>
          <w:rFonts w:ascii="方正仿宋_GBK" w:eastAsia="方正仿宋_GBK" w:hAnsi="方正仿宋_GBK" w:cs="方正仿宋_GBK" w:hint="eastAsia"/>
          <w:color w:val="2B2B30"/>
          <w:spacing w:val="13"/>
          <w:sz w:val="32"/>
          <w:szCs w:val="32"/>
        </w:rPr>
        <w:t>网络部署和规模化商用等事务性工作。</w:t>
      </w:r>
    </w:p>
    <w:p w:rsidR="00B52232" w:rsidRDefault="00B459EB">
      <w:pPr>
        <w:pStyle w:val="a8"/>
        <w:tabs>
          <w:tab w:val="center" w:pos="4153"/>
          <w:tab w:val="left" w:pos="7275"/>
        </w:tabs>
        <w:spacing w:line="600" w:lineRule="exact"/>
        <w:ind w:firstLineChars="0" w:firstLine="0"/>
        <w:jc w:val="left"/>
        <w:rPr>
          <w:rFonts w:ascii="方正仿宋_GBK" w:eastAsia="方正仿宋_GBK" w:hAnsi="方正仿宋_GBK" w:cs="方正仿宋_GBK"/>
          <w:color w:val="2B2B30"/>
          <w:spacing w:val="13"/>
          <w:sz w:val="32"/>
          <w:szCs w:val="32"/>
        </w:rPr>
      </w:pPr>
      <w:bookmarkStart w:id="0" w:name="_GoBack"/>
      <w:bookmarkEnd w:id="0"/>
      <w:r>
        <w:rPr>
          <w:rFonts w:ascii="方正仿宋_GBK" w:eastAsia="方正仿宋_GBK" w:hAnsi="方正仿宋_GBK" w:cs="方正仿宋_GBK" w:hint="eastAsia"/>
          <w:color w:val="2B2B30"/>
          <w:spacing w:val="9"/>
          <w:sz w:val="32"/>
          <w:szCs w:val="32"/>
        </w:rPr>
        <w:t>7.负责推动大数据、人工智能、信息化领域对外交流合作。</w:t>
      </w:r>
      <w:r>
        <w:rPr>
          <w:rFonts w:ascii="方正仿宋_GBK" w:eastAsia="方正仿宋_GBK" w:hAnsi="方正仿宋_GBK" w:cs="方正仿宋_GBK" w:hint="eastAsia"/>
          <w:color w:val="2B2B30"/>
          <w:spacing w:val="11"/>
          <w:sz w:val="32"/>
          <w:szCs w:val="32"/>
        </w:rPr>
        <w:t>参与国内重大交流合作活动，组织开展区域化合作，并承办相</w:t>
      </w:r>
      <w:r>
        <w:rPr>
          <w:rFonts w:ascii="方正仿宋_GBK" w:eastAsia="方正仿宋_GBK" w:hAnsi="方正仿宋_GBK" w:cs="方正仿宋_GBK" w:hint="eastAsia"/>
          <w:color w:val="2B2B30"/>
          <w:spacing w:val="18"/>
          <w:sz w:val="32"/>
          <w:szCs w:val="32"/>
        </w:rPr>
        <w:t>关活动。指导全县大数据、人工智能、信息化人才队伍</w:t>
      </w:r>
      <w:r>
        <w:rPr>
          <w:rFonts w:ascii="方正仿宋_GBK" w:eastAsia="方正仿宋_GBK" w:hAnsi="方正仿宋_GBK" w:cs="方正仿宋_GBK" w:hint="eastAsia"/>
          <w:color w:val="2B2B30"/>
          <w:spacing w:val="18"/>
          <w:sz w:val="32"/>
          <w:szCs w:val="32"/>
        </w:rPr>
        <w:lastRenderedPageBreak/>
        <w:t>建设。</w:t>
      </w:r>
      <w:r>
        <w:rPr>
          <w:rFonts w:ascii="方正仿宋_GBK" w:eastAsia="方正仿宋_GBK" w:hAnsi="方正仿宋_GBK" w:cs="方正仿宋_GBK" w:hint="eastAsia"/>
          <w:color w:val="2B2B30"/>
          <w:spacing w:val="17"/>
          <w:sz w:val="32"/>
          <w:szCs w:val="32"/>
        </w:rPr>
        <w:t>指导相关行业协会、学会、联盟机构工作。</w:t>
      </w:r>
      <w:r>
        <w:rPr>
          <w:rFonts w:ascii="方正仿宋_GBK" w:eastAsia="方正仿宋_GBK" w:hAnsi="方正仿宋_GBK" w:cs="方正仿宋_GBK" w:hint="eastAsia"/>
          <w:color w:val="2B2B30"/>
          <w:spacing w:val="13"/>
          <w:sz w:val="32"/>
          <w:szCs w:val="32"/>
        </w:rPr>
        <w:t>8.完成主管部门交办的其他任务。</w:t>
      </w:r>
    </w:p>
    <w:p w:rsidR="00B52232" w:rsidRPr="00175A32" w:rsidRDefault="00B459EB">
      <w:pPr>
        <w:pStyle w:val="a8"/>
        <w:tabs>
          <w:tab w:val="center" w:pos="4153"/>
          <w:tab w:val="left" w:pos="7275"/>
        </w:tabs>
        <w:spacing w:line="600" w:lineRule="exact"/>
        <w:ind w:firstLine="640"/>
        <w:jc w:val="left"/>
        <w:rPr>
          <w:rFonts w:ascii="方正楷体_GBK" w:eastAsia="方正楷体_GBK" w:hAnsi="方正仿宋_GBK" w:cs="方正仿宋_GBK"/>
          <w:color w:val="2B2B30"/>
          <w:spacing w:val="13"/>
          <w:sz w:val="32"/>
          <w:szCs w:val="32"/>
        </w:rPr>
      </w:pPr>
      <w:r w:rsidRPr="00175A32">
        <w:rPr>
          <w:rFonts w:ascii="方正楷体_GBK" w:eastAsia="方正楷体_GBK" w:hAnsi="仿宋_GB2312" w:cs="仿宋_GB2312" w:hint="eastAsia"/>
          <w:sz w:val="32"/>
        </w:rPr>
        <w:t>（二）单位构成</w:t>
      </w:r>
    </w:p>
    <w:p w:rsidR="00B52232" w:rsidRDefault="00B459EB">
      <w:pPr>
        <w:spacing w:line="560" w:lineRule="exact"/>
        <w:ind w:firstLineChars="200" w:firstLine="640"/>
        <w:rPr>
          <w:rFonts w:ascii="方正仿宋_GBK" w:eastAsia="方正仿宋_GBK" w:hAnsi="方正仿宋_GBK" w:cs="方正仿宋_GBK"/>
          <w:color w:val="2B2B30"/>
          <w:spacing w:val="13"/>
          <w:sz w:val="32"/>
          <w:szCs w:val="32"/>
        </w:rPr>
      </w:pPr>
      <w:r>
        <w:rPr>
          <w:rFonts w:ascii="方正仿宋_GBK" w:eastAsia="方正仿宋_GBK" w:hAnsi="方正仿宋_GBK" w:cs="方正仿宋_GBK" w:hint="eastAsia"/>
          <w:sz w:val="32"/>
          <w:szCs w:val="32"/>
        </w:rPr>
        <w:t>彭水苗族土家族自治县大数据事务中心（简称县大数据事务中心），为县发展改革委管理的副科级公益一类事业单位。</w:t>
      </w:r>
    </w:p>
    <w:p w:rsidR="00B52232" w:rsidRDefault="00B459EB">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r w:rsidR="0055316B">
        <w:rPr>
          <w:rFonts w:ascii="方正黑体_GBK" w:eastAsia="方正黑体_GBK" w:hAnsi="方正黑体_GBK" w:cs="方正黑体_GBK" w:hint="eastAsia"/>
          <w:sz w:val="32"/>
          <w:szCs w:val="32"/>
        </w:rPr>
        <w:t>况</w:t>
      </w:r>
    </w:p>
    <w:p w:rsidR="00B52232" w:rsidRDefault="00B459EB">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2025年年初预算数22.83万元，其中：一般公共预算拨款22.83万元，政府性基金预算拨款0万元，国有资本经营预算收入0万元，事业收入0万元，事业单位经营收入0万元，其他收入0万元。收入较2024年增加22.83万元，</w:t>
      </w:r>
      <w:r>
        <w:rPr>
          <w:rFonts w:ascii="方正仿宋_GBK" w:eastAsia="方正仿宋_GBK" w:hAnsi="方正仿宋_GBK" w:cs="方正仿宋_GBK" w:hint="eastAsia"/>
          <w:sz w:val="32"/>
          <w:szCs w:val="32"/>
        </w:rPr>
        <w:t>主要原因是该单位为2025年新增预算单位，2024年无年初预算。</w:t>
      </w:r>
    </w:p>
    <w:p w:rsidR="00B52232" w:rsidRDefault="00B459EB">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2025年年初预算数22.83万元，其中：一般公共服务支出预算18.92万元，教育支出预算0万元，社会保障和就业支出预算2.37万元，卫生健康支出预算0.73万元，住房保障支出预算0.81万元</w:t>
      </w:r>
      <w:r>
        <w:rPr>
          <w:rFonts w:ascii="方正仿宋_GBK" w:eastAsia="方正仿宋_GBK" w:hAnsi="方正仿宋_GBK" w:cs="方正仿宋_GBK" w:hint="eastAsia"/>
          <w:sz w:val="32"/>
          <w:szCs w:val="32"/>
        </w:rPr>
        <w:t>。</w:t>
      </w:r>
      <w:r>
        <w:rPr>
          <w:rFonts w:ascii="方正仿宋_GBK" w:eastAsia="方正仿宋_GBK" w:hAnsi="仿宋_GB2312" w:cs="仿宋_GB2312" w:hint="eastAsia"/>
          <w:sz w:val="32"/>
        </w:rPr>
        <w:t>支出预算较2024年增加22.83万元，</w:t>
      </w:r>
      <w:r>
        <w:rPr>
          <w:rFonts w:ascii="方正仿宋_GBK" w:eastAsia="方正仿宋_GBK" w:hAnsi="方正仿宋_GBK" w:cs="方正仿宋_GBK" w:hint="eastAsia"/>
          <w:sz w:val="32"/>
          <w:szCs w:val="32"/>
        </w:rPr>
        <w:t>主要是</w:t>
      </w:r>
      <w:r w:rsidR="00010054">
        <w:rPr>
          <w:rFonts w:ascii="方正仿宋_GBK" w:eastAsia="方正仿宋_GBK" w:hAnsi="方正仿宋_GBK" w:cs="方正仿宋_GBK" w:hint="eastAsia"/>
          <w:sz w:val="32"/>
          <w:szCs w:val="32"/>
        </w:rPr>
        <w:t>基本支出预算增加22.83万元</w:t>
      </w:r>
      <w:r>
        <w:rPr>
          <w:rFonts w:ascii="方正仿宋_GBK" w:eastAsia="方正仿宋_GBK" w:hAnsi="方正仿宋_GBK" w:cs="方正仿宋_GBK" w:hint="eastAsia"/>
          <w:sz w:val="32"/>
          <w:szCs w:val="32"/>
        </w:rPr>
        <w:t>。</w:t>
      </w:r>
    </w:p>
    <w:p w:rsidR="00B52232" w:rsidRDefault="00B459EB">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B52232" w:rsidRDefault="00B459EB">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2025年一般公共预算财政拨款收入22.83万元，一般公共预算财政拨款支出22.83万元，比2024年增加22.83万元。其中：基本支出22.83万元，比2024年增加22.83万元，</w:t>
      </w:r>
      <w:r>
        <w:rPr>
          <w:rFonts w:ascii="方正仿宋_GBK" w:eastAsia="方正仿宋_GBK" w:hAnsi="方正仿宋_GBK" w:cs="方正仿宋_GBK" w:hint="eastAsia"/>
          <w:sz w:val="32"/>
          <w:szCs w:val="32"/>
        </w:rPr>
        <w:t>主要原因是该单位为2025年新增预算单位，2024年无年初预算。</w:t>
      </w:r>
    </w:p>
    <w:p w:rsidR="00B52232" w:rsidRDefault="00C47E4E">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县大数据事务中心2025年无使用政府性基金预算拨款安排的支出。</w:t>
      </w:r>
    </w:p>
    <w:p w:rsidR="00B52232" w:rsidRDefault="00B459EB">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B52232" w:rsidRDefault="00B459EB">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0万元，与2024年持平。其中：因公出国（境）费用0万元，与2024年持平，主要原因是我委无因公出国（境）活动；公务接待费0万元，与2024年持平；公务用车运行维护费0万元，比2024年减少0万元；主要原因</w:t>
      </w:r>
      <w:r w:rsidR="00E4014F">
        <w:rPr>
          <w:rFonts w:ascii="方正仿宋_GBK" w:eastAsia="方正仿宋_GBK" w:hAnsi="仿宋_GB2312" w:cs="仿宋_GB2312" w:hint="eastAsia"/>
          <w:sz w:val="32"/>
        </w:rPr>
        <w:t>是</w:t>
      </w:r>
      <w:r w:rsidR="00C47E4E">
        <w:rPr>
          <w:rFonts w:ascii="方正仿宋_GBK" w:eastAsia="方正仿宋_GBK" w:hAnsi="仿宋_GB2312" w:cs="仿宋_GB2312" w:hint="eastAsia"/>
          <w:sz w:val="32"/>
        </w:rPr>
        <w:t>本年暂无公务用车运行维护费的预算</w:t>
      </w:r>
      <w:r>
        <w:rPr>
          <w:rFonts w:ascii="方正仿宋_GBK" w:eastAsia="方正仿宋_GBK" w:hAnsi="仿宋_GB2312" w:cs="仿宋_GB2312" w:hint="eastAsia"/>
          <w:sz w:val="32"/>
        </w:rPr>
        <w:t>；公务用车购置费0万元，与2024年持平；主要原因是本年暂无公务用车购置预算。</w:t>
      </w:r>
    </w:p>
    <w:p w:rsidR="00B52232" w:rsidRDefault="00B459EB">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B52232" w:rsidRDefault="00B459EB">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2025年一般公共预算财政拨款运行经费7.07万元，比上年增加7.07万元，</w:t>
      </w:r>
      <w:r>
        <w:rPr>
          <w:rFonts w:ascii="方正仿宋_GBK" w:eastAsia="方正仿宋_GBK" w:hAnsi="方正仿宋_GBK" w:cs="方正仿宋_GBK" w:hint="eastAsia"/>
          <w:sz w:val="32"/>
          <w:szCs w:val="32"/>
        </w:rPr>
        <w:t>主要原因是该单位为2025年新增预算单位，2024年无年初预算。</w:t>
      </w:r>
      <w:r w:rsidR="00C47E4E" w:rsidRPr="00C47E4E">
        <w:rPr>
          <w:rFonts w:ascii="方正仿宋_GBK" w:eastAsia="方正仿宋_GBK" w:hAnsi="方正仿宋_GBK" w:cs="方正仿宋_GBK" w:hint="eastAsia"/>
          <w:sz w:val="32"/>
          <w:szCs w:val="32"/>
        </w:rPr>
        <w:t>主要用于办公费、印刷费、邮电费、水电费、物管费、差旅费、会议费、培训费及其他商品和服务支出等。</w:t>
      </w:r>
    </w:p>
    <w:p w:rsidR="00B52232" w:rsidRDefault="00B459EB">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本单位政府采购预算总额0万元：政府采购货物预算 0万元、政府采购工程预算 0万元、政府采购服务预算0万元；其中一般公共预算拨款政府采购0万元：政府采购货物预算0万元、政府采购工程预算0万元、政府采购服务预算0万元。</w:t>
      </w:r>
    </w:p>
    <w:p w:rsidR="00B52232" w:rsidRDefault="00B459EB">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sidR="00B16F59">
        <w:rPr>
          <w:rFonts w:ascii="方正仿宋_GBK" w:eastAsia="方正仿宋_GBK" w:hAnsi="仿宋_GB2312" w:cs="仿宋_GB2312" w:hint="eastAsia"/>
          <w:color w:val="000000"/>
          <w:sz w:val="32"/>
        </w:rPr>
        <w:t>本单位未设置绩效目标情况</w:t>
      </w:r>
      <w:r>
        <w:rPr>
          <w:rFonts w:ascii="方正仿宋_GBK" w:eastAsia="方正仿宋_GBK" w:hAnsi="仿宋_GB2312" w:cs="仿宋_GB2312" w:hint="eastAsia"/>
          <w:color w:val="000000"/>
          <w:sz w:val="32"/>
        </w:rPr>
        <w:t>。</w:t>
      </w:r>
    </w:p>
    <w:p w:rsidR="00B52232" w:rsidRDefault="00B459EB">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截至2024年12月，所属各预算单位共有车辆0辆，其中一般公务用车0辆、执勤执法用车</w:t>
      </w:r>
      <w:r>
        <w:rPr>
          <w:rFonts w:ascii="方正仿宋_GBK" w:eastAsia="方正仿宋_GBK" w:hAnsi="仿宋_GB2312" w:cs="仿宋_GB2312" w:hint="eastAsia"/>
          <w:color w:val="000000"/>
          <w:sz w:val="32"/>
        </w:rPr>
        <w:lastRenderedPageBreak/>
        <w:t>0辆。2025年一般公共预算安排购置车辆0辆，其中一般公务用车0辆、执勤执法用车0辆。</w:t>
      </w:r>
    </w:p>
    <w:p w:rsidR="00B52232" w:rsidRDefault="00B459EB">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B52232" w:rsidRDefault="00B459EB">
      <w:pPr>
        <w:pStyle w:val="a8"/>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B52232" w:rsidRDefault="00B459EB">
      <w:pPr>
        <w:pStyle w:val="a8"/>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B52232" w:rsidRDefault="00B459EB">
      <w:pPr>
        <w:pStyle w:val="a8"/>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B52232" w:rsidRDefault="00B459EB">
      <w:pPr>
        <w:pStyle w:val="a8"/>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B52232" w:rsidRDefault="00B459EB">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52232" w:rsidRDefault="00B52232">
      <w:pPr>
        <w:rPr>
          <w:rFonts w:ascii="方正仿宋_GBK" w:eastAsia="方正仿宋_GBK" w:hAnsi="方正仿宋_GBK" w:cs="方正仿宋_GBK"/>
          <w:sz w:val="32"/>
          <w:szCs w:val="32"/>
        </w:rPr>
      </w:pPr>
    </w:p>
    <w:p w:rsidR="00B52232" w:rsidRDefault="00B459EB">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部门预算公开联系人：刘水艳；联系方式：78442213</w:t>
      </w:r>
    </w:p>
    <w:sectPr w:rsidR="00B52232" w:rsidSect="00B52232">
      <w:footerReference w:type="default" r:id="rId8"/>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420" w:rsidRDefault="00DE1420" w:rsidP="00B52232">
      <w:r>
        <w:separator/>
      </w:r>
    </w:p>
  </w:endnote>
  <w:endnote w:type="continuationSeparator" w:id="1">
    <w:p w:rsidR="00DE1420" w:rsidRDefault="00DE1420" w:rsidP="00B52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232" w:rsidRDefault="00AD366E">
    <w:pPr>
      <w:pStyle w:val="a4"/>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B52232" w:rsidRDefault="00B459EB">
                <w:pPr>
                  <w:pStyle w:val="a4"/>
                  <w:rPr>
                    <w:rFonts w:ascii="宋体" w:hAnsi="宋体" w:cs="宋体"/>
                    <w:sz w:val="28"/>
                    <w:szCs w:val="28"/>
                  </w:rPr>
                </w:pPr>
                <w:r>
                  <w:rPr>
                    <w:rFonts w:ascii="宋体" w:hAnsi="宋体" w:cs="宋体" w:hint="eastAsia"/>
                    <w:sz w:val="28"/>
                    <w:szCs w:val="28"/>
                  </w:rPr>
                  <w:t xml:space="preserve">— </w:t>
                </w:r>
                <w:r w:rsidR="00AD366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D366E">
                  <w:rPr>
                    <w:rFonts w:ascii="宋体" w:hAnsi="宋体" w:cs="宋体" w:hint="eastAsia"/>
                    <w:sz w:val="28"/>
                    <w:szCs w:val="28"/>
                  </w:rPr>
                  <w:fldChar w:fldCharType="separate"/>
                </w:r>
                <w:r w:rsidR="00E4014F">
                  <w:rPr>
                    <w:rFonts w:ascii="宋体" w:hAnsi="宋体" w:cs="宋体"/>
                    <w:noProof/>
                    <w:sz w:val="28"/>
                    <w:szCs w:val="28"/>
                  </w:rPr>
                  <w:t>3</w:t>
                </w:r>
                <w:r w:rsidR="00AD366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420" w:rsidRDefault="00DE1420" w:rsidP="00B52232">
      <w:r>
        <w:separator/>
      </w:r>
    </w:p>
  </w:footnote>
  <w:footnote w:type="continuationSeparator" w:id="1">
    <w:p w:rsidR="00DE1420" w:rsidRDefault="00DE1420" w:rsidP="00B52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799A8E"/>
    <w:multiLevelType w:val="singleLevel"/>
    <w:tmpl w:val="CD799A8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4665"/>
    <w:rsid w:val="00010054"/>
    <w:rsid w:val="0011238A"/>
    <w:rsid w:val="00115714"/>
    <w:rsid w:val="00167D70"/>
    <w:rsid w:val="00175A32"/>
    <w:rsid w:val="001F2C3D"/>
    <w:rsid w:val="0027647C"/>
    <w:rsid w:val="002C0C2E"/>
    <w:rsid w:val="002F3854"/>
    <w:rsid w:val="00357429"/>
    <w:rsid w:val="00410324"/>
    <w:rsid w:val="00416BB4"/>
    <w:rsid w:val="004661AC"/>
    <w:rsid w:val="004D03F6"/>
    <w:rsid w:val="0055316B"/>
    <w:rsid w:val="00577E57"/>
    <w:rsid w:val="005B1ABA"/>
    <w:rsid w:val="005E4EA8"/>
    <w:rsid w:val="00635007"/>
    <w:rsid w:val="00687118"/>
    <w:rsid w:val="0069385D"/>
    <w:rsid w:val="006A31C9"/>
    <w:rsid w:val="006A530F"/>
    <w:rsid w:val="0070269E"/>
    <w:rsid w:val="00710F28"/>
    <w:rsid w:val="00746FD3"/>
    <w:rsid w:val="00755B72"/>
    <w:rsid w:val="00762795"/>
    <w:rsid w:val="00866229"/>
    <w:rsid w:val="009557D1"/>
    <w:rsid w:val="009561D7"/>
    <w:rsid w:val="009F45AA"/>
    <w:rsid w:val="00A30986"/>
    <w:rsid w:val="00A328A4"/>
    <w:rsid w:val="00A5366F"/>
    <w:rsid w:val="00A73F23"/>
    <w:rsid w:val="00A95C80"/>
    <w:rsid w:val="00AD366E"/>
    <w:rsid w:val="00B16F59"/>
    <w:rsid w:val="00B459EB"/>
    <w:rsid w:val="00B52232"/>
    <w:rsid w:val="00C449F4"/>
    <w:rsid w:val="00C47E4E"/>
    <w:rsid w:val="00C75570"/>
    <w:rsid w:val="00CC29AE"/>
    <w:rsid w:val="00D2163B"/>
    <w:rsid w:val="00D52FA7"/>
    <w:rsid w:val="00DE1420"/>
    <w:rsid w:val="00E126EB"/>
    <w:rsid w:val="00E4014F"/>
    <w:rsid w:val="00E95A1F"/>
    <w:rsid w:val="00ED0F8F"/>
    <w:rsid w:val="00EE6164"/>
    <w:rsid w:val="02BB4026"/>
    <w:rsid w:val="02D1724F"/>
    <w:rsid w:val="04211643"/>
    <w:rsid w:val="04505974"/>
    <w:rsid w:val="04C40D4D"/>
    <w:rsid w:val="06ED404B"/>
    <w:rsid w:val="0A145766"/>
    <w:rsid w:val="0BAB77AC"/>
    <w:rsid w:val="0FA34792"/>
    <w:rsid w:val="10182D0B"/>
    <w:rsid w:val="108C1D45"/>
    <w:rsid w:val="14052B28"/>
    <w:rsid w:val="17486C79"/>
    <w:rsid w:val="18E735BE"/>
    <w:rsid w:val="1A422ACF"/>
    <w:rsid w:val="1AA62335"/>
    <w:rsid w:val="1CB7523F"/>
    <w:rsid w:val="1E3F7E75"/>
    <w:rsid w:val="1EE4687F"/>
    <w:rsid w:val="236255F9"/>
    <w:rsid w:val="245840D9"/>
    <w:rsid w:val="264F0324"/>
    <w:rsid w:val="2BC971C7"/>
    <w:rsid w:val="2D442F95"/>
    <w:rsid w:val="301F21D8"/>
    <w:rsid w:val="306611E2"/>
    <w:rsid w:val="35056EB9"/>
    <w:rsid w:val="3593149E"/>
    <w:rsid w:val="366D0C58"/>
    <w:rsid w:val="379E4662"/>
    <w:rsid w:val="38800730"/>
    <w:rsid w:val="3AE31B22"/>
    <w:rsid w:val="3BBD5011"/>
    <w:rsid w:val="40B362C3"/>
    <w:rsid w:val="46043911"/>
    <w:rsid w:val="46EC3FDE"/>
    <w:rsid w:val="46EF619E"/>
    <w:rsid w:val="47C45359"/>
    <w:rsid w:val="4B9134C6"/>
    <w:rsid w:val="4BA94D24"/>
    <w:rsid w:val="4CEE625B"/>
    <w:rsid w:val="4EF45B42"/>
    <w:rsid w:val="5087358C"/>
    <w:rsid w:val="538C60EE"/>
    <w:rsid w:val="56B17E57"/>
    <w:rsid w:val="583B6822"/>
    <w:rsid w:val="585D0DE8"/>
    <w:rsid w:val="5DC84E8E"/>
    <w:rsid w:val="620623E1"/>
    <w:rsid w:val="64B71968"/>
    <w:rsid w:val="71001745"/>
    <w:rsid w:val="711F7F98"/>
    <w:rsid w:val="719359C2"/>
    <w:rsid w:val="71DB4BC3"/>
    <w:rsid w:val="73323A97"/>
    <w:rsid w:val="734D3AED"/>
    <w:rsid w:val="76AF5884"/>
    <w:rsid w:val="7FFA1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52232"/>
    <w:pPr>
      <w:widowControl w:val="0"/>
      <w:jc w:val="both"/>
    </w:pPr>
    <w:rPr>
      <w:rFonts w:ascii="Calibri" w:hAnsi="Calibri"/>
      <w:kern w:val="2"/>
      <w:sz w:val="21"/>
      <w:szCs w:val="22"/>
    </w:rPr>
  </w:style>
  <w:style w:type="paragraph" w:styleId="1">
    <w:name w:val="heading 1"/>
    <w:basedOn w:val="a"/>
    <w:next w:val="a"/>
    <w:qFormat/>
    <w:rsid w:val="00B52232"/>
    <w:pPr>
      <w:keepNext/>
      <w:keepLines/>
      <w:spacing w:line="560" w:lineRule="exact"/>
      <w:outlineLvl w:val="0"/>
    </w:pPr>
    <w:rPr>
      <w:rFonts w:eastAsia="方正小标宋_GBK"/>
      <w:kern w:val="44"/>
      <w:sz w:val="44"/>
    </w:rPr>
  </w:style>
  <w:style w:type="paragraph" w:styleId="2">
    <w:name w:val="heading 2"/>
    <w:basedOn w:val="a"/>
    <w:next w:val="a"/>
    <w:link w:val="2Char"/>
    <w:unhideWhenUsed/>
    <w:qFormat/>
    <w:rsid w:val="00B52232"/>
    <w:pPr>
      <w:keepNext/>
      <w:keepLines/>
      <w:spacing w:line="560" w:lineRule="exact"/>
      <w:ind w:firstLineChars="200" w:firstLine="880"/>
      <w:jc w:val="left"/>
      <w:outlineLvl w:val="1"/>
    </w:pPr>
    <w:rPr>
      <w:rFonts w:ascii="Times New Roman" w:eastAsia="方正楷体_GBK"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52232"/>
    <w:rPr>
      <w:rFonts w:ascii="方正仿宋_GBK" w:eastAsia="方正仿宋_GBK" w:hAnsi="方正仿宋_GBK" w:cs="方正仿宋_GBK"/>
      <w:sz w:val="31"/>
      <w:szCs w:val="31"/>
      <w:lang w:eastAsia="en-US"/>
    </w:rPr>
  </w:style>
  <w:style w:type="paragraph" w:styleId="a4">
    <w:name w:val="footer"/>
    <w:basedOn w:val="a"/>
    <w:qFormat/>
    <w:rsid w:val="00B52232"/>
    <w:pPr>
      <w:tabs>
        <w:tab w:val="center" w:pos="4153"/>
        <w:tab w:val="right" w:pos="8306"/>
      </w:tabs>
      <w:snapToGrid w:val="0"/>
      <w:jc w:val="left"/>
    </w:pPr>
    <w:rPr>
      <w:sz w:val="18"/>
      <w:szCs w:val="18"/>
    </w:rPr>
  </w:style>
  <w:style w:type="paragraph" w:styleId="a5">
    <w:name w:val="header"/>
    <w:basedOn w:val="a"/>
    <w:link w:val="Char"/>
    <w:qFormat/>
    <w:rsid w:val="00B52232"/>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52232"/>
    <w:pPr>
      <w:widowControl/>
      <w:jc w:val="left"/>
    </w:pPr>
    <w:rPr>
      <w:rFonts w:ascii="宋体" w:hAnsi="宋体" w:cs="宋体"/>
      <w:kern w:val="0"/>
      <w:sz w:val="24"/>
    </w:rPr>
  </w:style>
  <w:style w:type="character" w:styleId="a7">
    <w:name w:val="Strong"/>
    <w:basedOn w:val="a0"/>
    <w:qFormat/>
    <w:rsid w:val="00B52232"/>
    <w:rPr>
      <w:b/>
    </w:rPr>
  </w:style>
  <w:style w:type="paragraph" w:styleId="a8">
    <w:name w:val="List Paragraph"/>
    <w:basedOn w:val="a"/>
    <w:uiPriority w:val="34"/>
    <w:qFormat/>
    <w:rsid w:val="00B52232"/>
    <w:pPr>
      <w:ind w:firstLineChars="200" w:firstLine="420"/>
    </w:pPr>
  </w:style>
  <w:style w:type="character" w:customStyle="1" w:styleId="Char">
    <w:name w:val="页眉 Char"/>
    <w:basedOn w:val="a0"/>
    <w:link w:val="a5"/>
    <w:qFormat/>
    <w:rsid w:val="00B52232"/>
    <w:rPr>
      <w:kern w:val="2"/>
      <w:sz w:val="18"/>
      <w:szCs w:val="18"/>
    </w:rPr>
  </w:style>
  <w:style w:type="character" w:customStyle="1" w:styleId="2Char">
    <w:name w:val="标题 2 Char"/>
    <w:link w:val="2"/>
    <w:qFormat/>
    <w:rsid w:val="00B52232"/>
    <w:rPr>
      <w:rFonts w:ascii="Times New Roman" w:eastAsia="方正楷体_GBK"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赵燚</cp:lastModifiedBy>
  <cp:revision>39</cp:revision>
  <cp:lastPrinted>2025-01-16T01:20:00Z</cp:lastPrinted>
  <dcterms:created xsi:type="dcterms:W3CDTF">2025-01-15T02:03:00Z</dcterms:created>
  <dcterms:modified xsi:type="dcterms:W3CDTF">2025-03-12T01:18:00Z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