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eastAsia="方正小标宋_GBK"/>
          <w:sz w:val="44"/>
          <w:szCs w:val="44"/>
        </w:rPr>
      </w:pPr>
      <w:r>
        <w:rPr>
          <w:rFonts w:eastAsia="方正小标宋_GBK"/>
          <w:sz w:val="44"/>
          <w:szCs w:val="44"/>
        </w:rPr>
        <w:t>彭水</w:t>
      </w:r>
      <w:r>
        <w:rPr>
          <w:rFonts w:hint="eastAsia" w:eastAsia="方正小标宋_GBK"/>
          <w:sz w:val="44"/>
          <w:szCs w:val="44"/>
        </w:rPr>
        <w:t>苗族土家族</w:t>
      </w:r>
      <w:r>
        <w:rPr>
          <w:rFonts w:eastAsia="方正小标宋_GBK"/>
          <w:sz w:val="44"/>
          <w:szCs w:val="44"/>
        </w:rPr>
        <w:t>自治县就业和人才</w:t>
      </w:r>
      <w:r>
        <w:rPr>
          <w:rFonts w:hint="eastAsia" w:eastAsia="方正小标宋_GBK"/>
          <w:sz w:val="44"/>
          <w:szCs w:val="44"/>
        </w:rPr>
        <w:t>事务中心</w:t>
      </w:r>
    </w:p>
    <w:p>
      <w:pPr>
        <w:spacing w:line="55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2025年部门预算情况说明</w:t>
      </w:r>
    </w:p>
    <w:p>
      <w:pPr>
        <w:spacing w:line="550" w:lineRule="exact"/>
        <w:ind w:firstLine="880" w:firstLineChars="200"/>
        <w:jc w:val="center"/>
        <w:rPr>
          <w:rFonts w:ascii="华文中宋" w:hAnsi="华文中宋" w:eastAsia="华文中宋" w:cs="华文中宋"/>
          <w:sz w:val="44"/>
          <w:szCs w:val="44"/>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98" w:firstLineChars="218"/>
        <w:rPr>
          <w:rFonts w:eastAsia="方正黑体_GBK"/>
          <w:sz w:val="32"/>
          <w:szCs w:val="32"/>
        </w:rPr>
      </w:pPr>
      <w:r>
        <w:rPr>
          <w:rFonts w:eastAsia="方正黑体_GBK"/>
          <w:bCs/>
          <w:sz w:val="32"/>
          <w:szCs w:val="32"/>
        </w:rPr>
        <w:t>一、单位基本情况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98" w:firstLineChars="218"/>
        <w:rPr>
          <w:rFonts w:ascii="方正仿宋_GBK" w:hAnsi="仿宋_GB2312" w:eastAsia="方正仿宋_GBK" w:cs="仿宋_GB2312"/>
          <w:sz w:val="32"/>
        </w:rPr>
      </w:pPr>
      <w:r>
        <w:rPr>
          <w:rFonts w:hint="eastAsia" w:ascii="方正仿宋_GBK" w:hAnsi="仿宋_GB2312" w:eastAsia="方正仿宋_GBK" w:cs="仿宋_GB2312"/>
          <w:sz w:val="32"/>
        </w:rPr>
        <w:t>（一）职能职责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1、</w:t>
      </w:r>
      <w:r>
        <w:rPr>
          <w:rFonts w:ascii="方正仿宋_GBK" w:hAnsi="仿宋_GB2312" w:eastAsia="方正仿宋_GBK" w:cs="仿宋_GB2312"/>
          <w:sz w:val="32"/>
        </w:rPr>
        <w:t>组织实施城乡就业发展规划和年度计划，负责城乡就业工作目标管理及考核工作。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w:t>
      </w:r>
      <w:r>
        <w:rPr>
          <w:rFonts w:ascii="方正仿宋_GBK" w:hAnsi="仿宋_GB2312" w:eastAsia="方正仿宋_GBK" w:cs="仿宋_GB2312"/>
          <w:sz w:val="32"/>
        </w:rPr>
        <w:t>贯彻落实就业创业有关政策和失业保险法律法规，提供公益性就业创业服务，对就业困难群体和重点群体提供就业服务，承担失业保险有关经办服务工作。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3、</w:t>
      </w:r>
      <w:r>
        <w:rPr>
          <w:rFonts w:ascii="方正仿宋_GBK" w:hAnsi="仿宋_GB2312" w:eastAsia="方正仿宋_GBK" w:cs="仿宋_GB2312"/>
          <w:sz w:val="32"/>
        </w:rPr>
        <w:t>面向劳动者开展职业技能、就业创业等职业培训，承担职业能力建设相关业务工作。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4、</w:t>
      </w:r>
      <w:r>
        <w:rPr>
          <w:rFonts w:ascii="方正仿宋_GBK" w:hAnsi="仿宋_GB2312" w:eastAsia="方正仿宋_GBK" w:cs="仿宋_GB2312"/>
          <w:sz w:val="32"/>
        </w:rPr>
        <w:t>指导就业培训机构建设工作。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5、</w:t>
      </w:r>
      <w:r>
        <w:rPr>
          <w:rFonts w:ascii="方正仿宋_GBK" w:hAnsi="仿宋_GB2312" w:eastAsia="方正仿宋_GBK" w:cs="仿宋_GB2312"/>
          <w:sz w:val="32"/>
        </w:rPr>
        <w:t>指导基层公共就业服务工作平台建设、人力资源基础台账建设及充分就业社区（村）创建工作。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6、</w:t>
      </w:r>
      <w:r>
        <w:rPr>
          <w:rFonts w:ascii="方正仿宋_GBK" w:hAnsi="仿宋_GB2312" w:eastAsia="方正仿宋_GBK" w:cs="仿宋_GB2312"/>
          <w:sz w:val="32"/>
        </w:rPr>
        <w:t>承担高校毕业生实名制及见习基地管理工作。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7、</w:t>
      </w:r>
      <w:r>
        <w:rPr>
          <w:rFonts w:ascii="方正仿宋_GBK" w:hAnsi="仿宋_GB2312" w:eastAsia="方正仿宋_GBK" w:cs="仿宋_GB2312"/>
          <w:sz w:val="32"/>
        </w:rPr>
        <w:t>负责人力资源市场日常管理，为用人单位、求职者提供招聘、求职等服务，开展流动人员人事档案、人事代理及流动党员管理服务工作。</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8、</w:t>
      </w:r>
      <w:r>
        <w:rPr>
          <w:rFonts w:ascii="方正仿宋_GBK" w:hAnsi="仿宋_GB2312" w:eastAsia="方正仿宋_GBK" w:cs="仿宋_GB2312"/>
          <w:sz w:val="32"/>
        </w:rPr>
        <w:t>开展城乡就业统计及人力资源市场供求信息监测工作。</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9、</w:t>
      </w:r>
      <w:r>
        <w:rPr>
          <w:rFonts w:ascii="方正仿宋_GBK" w:hAnsi="仿宋_GB2312" w:eastAsia="方正仿宋_GBK" w:cs="仿宋_GB2312"/>
          <w:sz w:val="32"/>
        </w:rPr>
        <w:t>完成上级主管部门交办的其他工作任务。</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98" w:firstLineChars="218"/>
        <w:rPr>
          <w:rFonts w:ascii="方正仿宋_GBK" w:hAnsi="仿宋_GB2312" w:eastAsia="方正仿宋_GBK" w:cs="仿宋_GB2312"/>
          <w:sz w:val="32"/>
        </w:rPr>
      </w:pPr>
      <w:r>
        <w:rPr>
          <w:rFonts w:hint="eastAsia" w:ascii="方正仿宋_GBK" w:hAnsi="仿宋_GB2312" w:eastAsia="方正仿宋_GBK" w:cs="仿宋_GB2312"/>
          <w:sz w:val="32"/>
        </w:rPr>
        <w:t>（二）单位构成</w:t>
      </w:r>
    </w:p>
    <w:p>
      <w:pPr>
        <w:spacing w:line="600" w:lineRule="exact"/>
        <w:ind w:left="640"/>
        <w:rPr>
          <w:rFonts w:ascii="方正仿宋_GBK" w:hAnsi="仿宋_GB2312" w:eastAsia="方正仿宋_GBK" w:cs="仿宋_GB2312"/>
          <w:sz w:val="32"/>
        </w:rPr>
      </w:pPr>
      <w:r>
        <w:rPr>
          <w:rFonts w:ascii="方正仿宋_GBK" w:hAnsi="仿宋_GB2312" w:eastAsia="方正仿宋_GBK" w:cs="仿宋_GB2312"/>
          <w:sz w:val="32"/>
        </w:rPr>
        <w:t>彭水苗族土家族自治县就业和人才</w:t>
      </w:r>
      <w:r>
        <w:rPr>
          <w:rFonts w:hint="eastAsia" w:ascii="方正仿宋_GBK" w:hAnsi="仿宋_GB2312" w:eastAsia="方正仿宋_GBK" w:cs="仿宋_GB2312"/>
          <w:sz w:val="32"/>
        </w:rPr>
        <w:t>事务中心</w:t>
      </w:r>
      <w:r>
        <w:rPr>
          <w:rFonts w:ascii="方正仿宋_GBK" w:hAnsi="仿宋_GB2312" w:eastAsia="方正仿宋_GBK" w:cs="仿宋_GB2312"/>
          <w:sz w:val="32"/>
        </w:rPr>
        <w:t>为县人力资源</w:t>
      </w:r>
    </w:p>
    <w:p>
      <w:pPr>
        <w:spacing w:line="600" w:lineRule="exact"/>
        <w:rPr>
          <w:rFonts w:ascii="方正仿宋_GBK" w:hAnsi="仿宋_GB2312" w:eastAsia="方正仿宋_GBK" w:cs="仿宋_GB2312"/>
          <w:sz w:val="32"/>
        </w:rPr>
      </w:pPr>
      <w:r>
        <w:rPr>
          <w:rFonts w:ascii="方正仿宋_GBK" w:hAnsi="仿宋_GB2312" w:eastAsia="方正仿宋_GBK" w:cs="仿宋_GB2312"/>
          <w:sz w:val="32"/>
        </w:rPr>
        <w:t>和社会保障局管理的正科级公益一类事业单位，内设</w:t>
      </w:r>
      <w:r>
        <w:rPr>
          <w:rFonts w:hint="eastAsia" w:ascii="方正仿宋_GBK" w:hAnsi="仿宋_GB2312" w:eastAsia="方正仿宋_GBK" w:cs="仿宋_GB2312"/>
          <w:sz w:val="32"/>
        </w:rPr>
        <w:t>8</w:t>
      </w:r>
      <w:r>
        <w:rPr>
          <w:rFonts w:ascii="方正仿宋_GBK" w:hAnsi="仿宋_GB2312" w:eastAsia="方正仿宋_GBK" w:cs="仿宋_GB2312"/>
          <w:sz w:val="32"/>
        </w:rPr>
        <w:t>个科室</w:t>
      </w:r>
      <w:r>
        <w:rPr>
          <w:rFonts w:hint="eastAsia" w:ascii="方正仿宋_GBK" w:hAnsi="仿宋_GB2312" w:eastAsia="方正仿宋_GBK" w:cs="仿宋_GB2312"/>
          <w:sz w:val="32"/>
        </w:rPr>
        <w:t>，分别是综合科、基金财务科、职业培训科、失业保险科、就业创业科、劳务开发科、人力资源科、信息网络科。</w:t>
      </w:r>
      <w:r>
        <w:rPr>
          <w:rFonts w:ascii="方正仿宋_GBK" w:hAnsi="仿宋_GB2312" w:eastAsia="方正仿宋_GBK" w:cs="仿宋_GB2312"/>
          <w:sz w:val="32"/>
        </w:rPr>
        <w:t>核定编制人数3</w:t>
      </w:r>
      <w:r>
        <w:rPr>
          <w:rFonts w:hint="eastAsia" w:ascii="方正仿宋_GBK" w:hAnsi="仿宋_GB2312" w:eastAsia="方正仿宋_GBK" w:cs="仿宋_GB2312"/>
          <w:sz w:val="32"/>
        </w:rPr>
        <w:t>4</w:t>
      </w:r>
      <w:r>
        <w:rPr>
          <w:rFonts w:ascii="方正仿宋_GBK" w:hAnsi="仿宋_GB2312" w:eastAsia="方正仿宋_GBK" w:cs="仿宋_GB2312"/>
          <w:sz w:val="32"/>
        </w:rPr>
        <w:t>人，现在编人数</w:t>
      </w:r>
      <w:r>
        <w:rPr>
          <w:rFonts w:hint="eastAsia" w:ascii="方正仿宋_GBK" w:hAnsi="仿宋_GB2312" w:eastAsia="方正仿宋_GBK" w:cs="仿宋_GB2312"/>
          <w:sz w:val="32"/>
        </w:rPr>
        <w:t>31</w:t>
      </w:r>
      <w:r>
        <w:rPr>
          <w:rFonts w:ascii="方正仿宋_GBK" w:hAnsi="仿宋_GB2312" w:eastAsia="方正仿宋_GBK" w:cs="仿宋_GB2312"/>
          <w:sz w:val="32"/>
        </w:rPr>
        <w:t>人，其中参公人员</w:t>
      </w:r>
      <w:r>
        <w:rPr>
          <w:rFonts w:hint="eastAsia" w:ascii="方正仿宋_GBK" w:hAnsi="仿宋_GB2312" w:eastAsia="方正仿宋_GBK" w:cs="仿宋_GB2312"/>
          <w:sz w:val="32"/>
        </w:rPr>
        <w:t>31</w:t>
      </w:r>
      <w:r>
        <w:rPr>
          <w:rFonts w:ascii="方正仿宋_GBK" w:hAnsi="仿宋_GB2312" w:eastAsia="方正仿宋_GBK" w:cs="仿宋_GB2312"/>
          <w:sz w:val="32"/>
        </w:rPr>
        <w:t>人</w:t>
      </w:r>
      <w:r>
        <w:rPr>
          <w:rFonts w:hint="eastAsia" w:ascii="方正仿宋_GBK" w:hAnsi="仿宋_GB2312" w:eastAsia="方正仿宋_GBK" w:cs="仿宋_GB2312"/>
          <w:sz w:val="32"/>
        </w:rPr>
        <w:t>。</w:t>
      </w:r>
    </w:p>
    <w:p>
      <w:pPr>
        <w:spacing w:line="550" w:lineRule="exact"/>
        <w:ind w:firstLine="640" w:firstLineChars="200"/>
        <w:rPr>
          <w:rFonts w:ascii="方正仿宋_GBK" w:hAnsi="黑体" w:eastAsia="方正仿宋_GBK" w:cs="仿宋_GB2312"/>
          <w:sz w:val="32"/>
        </w:rPr>
      </w:pPr>
      <w:r>
        <w:rPr>
          <w:rFonts w:hint="eastAsia" w:ascii="方正黑体_GBK" w:hAnsi="黑体" w:eastAsia="方正黑体_GBK" w:cs="仿宋_GB2312"/>
          <w:sz w:val="32"/>
        </w:rPr>
        <w:t>二、单位收支总体情况</w:t>
      </w:r>
    </w:p>
    <w:p>
      <w:pPr>
        <w:spacing w:line="550" w:lineRule="exact"/>
        <w:ind w:firstLine="640" w:firstLineChars="200"/>
        <w:rPr>
          <w:rFonts w:ascii="方正仿宋_GBK" w:hAnsi="仿宋_GB2312" w:eastAsia="方正仿宋_GBK" w:cs="仿宋_GB2312"/>
          <w:sz w:val="32"/>
        </w:rPr>
      </w:pPr>
      <w:r>
        <w:rPr>
          <w:rFonts w:hint="eastAsia" w:ascii="方正楷体_GBK" w:hAnsi="方正楷体_GBK" w:eastAsia="方正楷体_GBK" w:cs="方正楷体_GBK"/>
          <w:sz w:val="32"/>
        </w:rPr>
        <w:t>（一）收入预算：</w:t>
      </w:r>
      <w:r>
        <w:rPr>
          <w:rFonts w:hint="eastAsia" w:ascii="方正仿宋_GBK" w:hAnsi="仿宋_GB2312" w:eastAsia="方正仿宋_GBK" w:cs="仿宋_GB2312"/>
          <w:sz w:val="32"/>
        </w:rPr>
        <w:t>2025年年初预算数4669.72万元，其中：一般公共预算拨款4669.72万元，政府性基金预算拨款0万元，国有资本经营预算收入0万元，事业收入0万元，事业单位经营收入0万元，其他收入0万元。收入较2024年增加410.8万元，主要是上级提前下达创业担保贷款贴息资金338.61万元。</w:t>
      </w:r>
    </w:p>
    <w:p>
      <w:pPr>
        <w:spacing w:line="550" w:lineRule="exact"/>
        <w:ind w:firstLine="640" w:firstLineChars="200"/>
        <w:rPr>
          <w:rFonts w:ascii="方正仿宋_GBK" w:hAnsi="仿宋_GB2312" w:eastAsia="方正仿宋_GBK" w:cs="仿宋_GB2312"/>
          <w:sz w:val="32"/>
        </w:rPr>
      </w:pPr>
      <w:r>
        <w:rPr>
          <w:rFonts w:hint="eastAsia" w:ascii="方正楷体_GBK" w:hAnsi="方正楷体_GBK" w:eastAsia="方正楷体_GBK" w:cs="方正楷体_GBK"/>
          <w:sz w:val="32"/>
        </w:rPr>
        <w:t>（二）支出预算：</w:t>
      </w:r>
      <w:r>
        <w:rPr>
          <w:rFonts w:hint="eastAsia" w:ascii="方正仿宋_GBK" w:hAnsi="仿宋_GB2312" w:eastAsia="方正仿宋_GBK" w:cs="仿宋_GB2312"/>
          <w:sz w:val="32"/>
        </w:rPr>
        <w:t>2025年年初预算数4669.72万元，其中：社会保障和就业支出预算4226.69万元，卫生健康支出预算37.66万元，住房保障支出预算48.75万元，农林水支出356.61万元。支出预算较2024年增加410.8万元，主要是基本支出预算增加 65.28万元，项目支出预算增加345.51万元。</w:t>
      </w:r>
    </w:p>
    <w:p>
      <w:pPr>
        <w:spacing w:line="55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三、单位预算情况说明</w:t>
      </w:r>
    </w:p>
    <w:p>
      <w:pPr>
        <w:spacing w:line="55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2025年一般公共预算财政拨款收入4669.72万元，一般公共预算财政拨款支出4669.72万元，比2024年增加410.8万元。其中：基本支出725.6万元，比2024年增加65.28万元，主要原因是在职人员工资变动，主要用于在职人员工资福利及社会保险缴费、</w:t>
      </w:r>
      <w:r>
        <w:rPr>
          <w:rFonts w:ascii="方正仿宋_GBK" w:hAnsi="仿宋_GB2312" w:eastAsia="方正仿宋_GBK" w:cs="仿宋_GB2312"/>
          <w:sz w:val="32"/>
        </w:rPr>
        <w:t>医疗保障及住房保障缴费</w:t>
      </w:r>
      <w:r>
        <w:rPr>
          <w:rFonts w:hint="eastAsia" w:ascii="方正仿宋_GBK" w:hAnsi="仿宋_GB2312" w:eastAsia="方正仿宋_GBK" w:cs="仿宋_GB2312"/>
          <w:sz w:val="32"/>
        </w:rPr>
        <w:t>、退休人员补助，</w:t>
      </w:r>
      <w:r>
        <w:rPr>
          <w:rFonts w:ascii="方正仿宋_GBK" w:hAnsi="仿宋_GB2312" w:eastAsia="方正仿宋_GBK" w:cs="仿宋_GB2312"/>
          <w:sz w:val="32"/>
        </w:rPr>
        <w:t>保障部门正常运转的各项商品服务支出</w:t>
      </w:r>
      <w:r>
        <w:rPr>
          <w:rFonts w:hint="eastAsia" w:ascii="方正仿宋_GBK" w:hAnsi="仿宋_GB2312" w:eastAsia="方正仿宋_GBK" w:cs="仿宋_GB2312"/>
          <w:sz w:val="32"/>
        </w:rPr>
        <w:t>；项目支出3944.11万元，比2024年增加345.51万元，主要原因是上级提前下达创业担保贷款贴息资金338.61万元等，主要用于帮助失业人员、就业困难人员以及高校毕业生等在创业过程中缺乏启动资金和信用担保，由政府设立创业担保贷款并承担贴息。</w:t>
      </w:r>
    </w:p>
    <w:p>
      <w:pPr>
        <w:spacing w:line="55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我中心</w:t>
      </w:r>
      <w:r>
        <w:rPr>
          <w:rFonts w:ascii="方正仿宋_GBK" w:hAnsi="仿宋_GB2312" w:eastAsia="方正仿宋_GBK" w:cs="仿宋_GB2312"/>
          <w:sz w:val="32"/>
        </w:rPr>
        <w:t>202</w:t>
      </w:r>
      <w:r>
        <w:rPr>
          <w:rFonts w:hint="eastAsia" w:ascii="方正仿宋_GBK" w:hAnsi="仿宋_GB2312" w:eastAsia="方正仿宋_GBK" w:cs="仿宋_GB2312"/>
          <w:sz w:val="32"/>
        </w:rPr>
        <w:t>5</w:t>
      </w:r>
      <w:r>
        <w:rPr>
          <w:rFonts w:ascii="方正仿宋_GBK" w:hAnsi="仿宋_GB2312" w:eastAsia="方正仿宋_GBK" w:cs="仿宋_GB2312"/>
          <w:sz w:val="32"/>
        </w:rPr>
        <w:t>年</w:t>
      </w:r>
      <w:r>
        <w:rPr>
          <w:rFonts w:hint="eastAsia" w:ascii="方正仿宋_GBK" w:hAnsi="仿宋_GB2312" w:eastAsia="方正仿宋_GBK" w:cs="仿宋_GB2312"/>
          <w:sz w:val="32"/>
        </w:rPr>
        <w:t>无</w:t>
      </w:r>
      <w:r>
        <w:rPr>
          <w:rFonts w:ascii="方正仿宋_GBK" w:hAnsi="仿宋_GB2312" w:eastAsia="方正仿宋_GBK" w:cs="仿宋_GB2312"/>
          <w:sz w:val="32"/>
        </w:rPr>
        <w:t>使用政府性基金预算拨款安排的支出</w:t>
      </w:r>
      <w:r>
        <w:rPr>
          <w:rFonts w:hint="eastAsia" w:ascii="方正仿宋_GBK" w:hAnsi="仿宋_GB2312" w:eastAsia="方正仿宋_GBK" w:cs="仿宋_GB2312"/>
          <w:sz w:val="32"/>
        </w:rPr>
        <w:t>。</w:t>
      </w:r>
    </w:p>
    <w:p>
      <w:pPr>
        <w:spacing w:line="550" w:lineRule="exact"/>
        <w:ind w:firstLine="640" w:firstLineChars="200"/>
        <w:rPr>
          <w:rFonts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550" w:lineRule="exact"/>
        <w:ind w:firstLine="600"/>
        <w:rPr>
          <w:rFonts w:ascii="方正仿宋_GBK" w:hAnsi="仿宋_GB2312" w:eastAsia="方正仿宋_GBK" w:cs="仿宋_GB2312"/>
          <w:sz w:val="32"/>
        </w:rPr>
      </w:pPr>
      <w:r>
        <w:rPr>
          <w:rFonts w:hint="eastAsia" w:ascii="方正仿宋_GBK" w:hAnsi="仿宋_GB2312" w:eastAsia="方正仿宋_GBK" w:cs="仿宋_GB2312"/>
          <w:sz w:val="32"/>
        </w:rPr>
        <w:t>2025年“三公”经费预算10.5万元，比2024年减少0.5万元。其中：因公出国（境）费用0万元，与2024年持平，主要原因是2025年没有因公出国费用的安排；公务接待费3.00万元，比上年减少1万元，主要原因是</w:t>
      </w:r>
      <w:r>
        <w:rPr>
          <w:rFonts w:ascii="方正仿宋_GBK" w:hAnsi="仿宋_GB2312" w:eastAsia="方正仿宋_GBK" w:cs="仿宋_GB2312"/>
          <w:sz w:val="32"/>
        </w:rPr>
        <w:t>我</w:t>
      </w:r>
      <w:r>
        <w:rPr>
          <w:rFonts w:hint="eastAsia" w:ascii="方正仿宋_GBK" w:hAnsi="仿宋_GB2312" w:eastAsia="方正仿宋_GBK" w:cs="仿宋_GB2312"/>
          <w:sz w:val="32"/>
        </w:rPr>
        <w:t>中心</w:t>
      </w:r>
      <w:r>
        <w:rPr>
          <w:rFonts w:ascii="方正仿宋_GBK" w:hAnsi="仿宋_GB2312" w:eastAsia="方正仿宋_GBK" w:cs="仿宋_GB2312"/>
          <w:sz w:val="32"/>
        </w:rPr>
        <w:t>认真贯彻执行中央八项规定</w:t>
      </w:r>
      <w:bookmarkStart w:id="0" w:name="_GoBack"/>
      <w:bookmarkEnd w:id="0"/>
      <w:r>
        <w:rPr>
          <w:rFonts w:ascii="方正仿宋_GBK" w:hAnsi="仿宋_GB2312" w:eastAsia="方正仿宋_GBK" w:cs="仿宋_GB2312"/>
          <w:sz w:val="32"/>
        </w:rPr>
        <w:t>精神和厉行节约要求，严格遵守公务接待开支范围和标准</w:t>
      </w:r>
      <w:r>
        <w:rPr>
          <w:rFonts w:hint="eastAsia" w:ascii="方正仿宋_GBK" w:hAnsi="仿宋_GB2312" w:eastAsia="方正仿宋_GBK" w:cs="仿宋_GB2312"/>
          <w:sz w:val="32"/>
        </w:rPr>
        <w:t>；公务用车运行维护费7.5万元，比2024年增加0.5万元，主要原因是</w:t>
      </w:r>
      <w:r>
        <w:rPr>
          <w:rFonts w:hint="eastAsia" w:ascii="方正仿宋_GBK" w:hAnsi="华文仿宋" w:eastAsia="方正仿宋_GBK"/>
          <w:sz w:val="32"/>
          <w:szCs w:val="32"/>
        </w:rPr>
        <w:t>公务用车购置使用年限较长，车况较差，导致维修次数和维修成本增加</w:t>
      </w:r>
      <w:r>
        <w:rPr>
          <w:rFonts w:hint="eastAsia" w:ascii="方正仿宋_GBK" w:hAnsi="仿宋_GB2312" w:eastAsia="方正仿宋_GBK" w:cs="仿宋_GB2312"/>
          <w:sz w:val="32"/>
        </w:rPr>
        <w:t>；公务用车购置费0万元，与2024年持平；主要原因是2025年我中心没有购置公务用车安排。</w:t>
      </w:r>
    </w:p>
    <w:p>
      <w:pPr>
        <w:spacing w:line="55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spacing w:line="550" w:lineRule="exact"/>
        <w:ind w:firstLine="640" w:firstLineChars="200"/>
        <w:rPr>
          <w:rFonts w:ascii="方正仿宋_GBK" w:hAnsi="仿宋_GB2312" w:eastAsia="方正仿宋_GBK" w:cs="仿宋_GB2312"/>
          <w:sz w:val="32"/>
        </w:rPr>
      </w:pPr>
      <w:r>
        <w:rPr>
          <w:rFonts w:hint="eastAsia" w:ascii="方正楷体_GBK" w:hAnsi="方正楷体_GBK" w:eastAsia="方正楷体_GBK" w:cs="方正楷体_GBK"/>
          <w:sz w:val="32"/>
        </w:rPr>
        <w:t>（一）机关运行经费。</w:t>
      </w:r>
      <w:r>
        <w:rPr>
          <w:rFonts w:hint="eastAsia" w:ascii="方正仿宋_GBK" w:hAnsi="仿宋_GB2312" w:eastAsia="方正仿宋_GBK" w:cs="仿宋_GB2312"/>
          <w:sz w:val="32"/>
        </w:rPr>
        <w:t>2025年一般公共预算财政拨款运行经费117.03万元，比上年增加11.47万元，主要原因为2024年9月我中心新招录职工5名。主要用于办公费、印刷费、邮电费、水电费、物管费、差旅费、会议费、培训费及其他商品和服务支出等。</w:t>
      </w:r>
    </w:p>
    <w:p>
      <w:pPr>
        <w:spacing w:line="550" w:lineRule="exact"/>
        <w:ind w:firstLine="640" w:firstLineChars="200"/>
        <w:rPr>
          <w:rFonts w:ascii="方正仿宋_GBK" w:hAnsi="仿宋_GB2312" w:eastAsia="方正仿宋_GBK" w:cs="仿宋_GB2312"/>
          <w:sz w:val="32"/>
        </w:rPr>
      </w:pPr>
      <w:r>
        <w:rPr>
          <w:rFonts w:hint="eastAsia" w:ascii="方正楷体_GBK" w:hAnsi="方正楷体_GBK" w:eastAsia="方正楷体_GBK" w:cs="方正楷体_GBK"/>
          <w:sz w:val="32"/>
        </w:rPr>
        <w:t>（二）政府采购情况。</w:t>
      </w:r>
      <w:r>
        <w:rPr>
          <w:rFonts w:hint="eastAsia" w:ascii="方正仿宋_GBK" w:hAnsi="仿宋_GB2312" w:eastAsia="方正仿宋_GBK" w:cs="仿宋_GB2312"/>
          <w:sz w:val="32"/>
        </w:rPr>
        <w:t>本单位政府采购预算总额2.00万元：政府采购货物预算2.00万元、政府采购工程预算0万元、政府采购服务预算0万元；其中一般公共预算拨款政府采购2.00万元：政府采购货物预算2.00万元、政府采购工程预算0万元、政府采购服务预算0万元。</w:t>
      </w:r>
    </w:p>
    <w:p>
      <w:pPr>
        <w:spacing w:line="550" w:lineRule="exact"/>
        <w:ind w:firstLine="640" w:firstLineChars="200"/>
        <w:rPr>
          <w:rFonts w:ascii="方正仿宋_GBK" w:hAnsi="仿宋_GB2312" w:eastAsia="方正仿宋_GBK" w:cs="仿宋_GB2312"/>
          <w:color w:val="000000"/>
          <w:sz w:val="32"/>
        </w:rPr>
      </w:pPr>
      <w:r>
        <w:rPr>
          <w:rFonts w:hint="eastAsia" w:ascii="方正楷体_GBK" w:hAnsi="方正楷体_GBK" w:eastAsia="方正楷体_GBK" w:cs="方正楷体_GBK"/>
          <w:sz w:val="32"/>
        </w:rPr>
        <w:t>（三）绩效目标设置情况。</w:t>
      </w:r>
      <w:r>
        <w:rPr>
          <w:rFonts w:hint="eastAsia" w:ascii="方正仿宋_GBK" w:hAnsi="仿宋_GB2312" w:eastAsia="方正仿宋_GBK" w:cs="仿宋_GB2312"/>
          <w:color w:val="000000"/>
          <w:sz w:val="32"/>
        </w:rPr>
        <w:t>一是无部门整体绩效目标；二是所有特定目标类支出均实行了绩效目标管理，涉及一般公共预算当年财政拨款4669.72万元。</w:t>
      </w:r>
    </w:p>
    <w:p>
      <w:pPr>
        <w:spacing w:line="550" w:lineRule="exact"/>
        <w:ind w:firstLine="640" w:firstLineChars="200"/>
        <w:rPr>
          <w:rFonts w:ascii="方正仿宋_GBK" w:hAnsi="仿宋_GB2312" w:eastAsia="方正仿宋_GBK" w:cs="仿宋_GB2312"/>
          <w:color w:val="000000"/>
          <w:sz w:val="32"/>
        </w:rPr>
      </w:pPr>
      <w:r>
        <w:rPr>
          <w:rFonts w:hint="eastAsia" w:ascii="方正楷体_GBK" w:hAnsi="方正楷体_GBK" w:eastAsia="方正楷体_GBK" w:cs="方正楷体_GBK"/>
          <w:color w:val="000000"/>
          <w:sz w:val="32"/>
        </w:rPr>
        <w:t>（四）国有资产占有使用情况。</w:t>
      </w:r>
      <w:r>
        <w:rPr>
          <w:rFonts w:hint="eastAsia" w:ascii="方正仿宋_GBK" w:hAnsi="仿宋_GB2312" w:eastAsia="方正仿宋_GBK" w:cs="仿宋_GB2312"/>
          <w:color w:val="000000"/>
          <w:sz w:val="32"/>
        </w:rPr>
        <w:t>截至2024年12月，所属各预算单位共有车辆1辆，其中一般公务用车1辆、执勤执法用车0 辆。2024年无一般公共预算安排购置车辆支出。</w:t>
      </w:r>
    </w:p>
    <w:p>
      <w:pPr>
        <w:spacing w:line="55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六、专业性名词解释</w:t>
      </w:r>
    </w:p>
    <w:p>
      <w:pPr>
        <w:pStyle w:val="7"/>
        <w:tabs>
          <w:tab w:val="center" w:pos="4153"/>
          <w:tab w:val="left" w:pos="7275"/>
        </w:tabs>
        <w:spacing w:line="550" w:lineRule="exact"/>
        <w:ind w:firstLine="640"/>
        <w:jc w:val="left"/>
        <w:rPr>
          <w:rFonts w:ascii="方正仿宋_GBK" w:eastAsia="方正仿宋_GBK"/>
          <w:sz w:val="32"/>
          <w:szCs w:val="32"/>
        </w:rPr>
      </w:pPr>
      <w:r>
        <w:rPr>
          <w:rFonts w:hint="eastAsia" w:ascii="方正楷体_GBK" w:hAnsi="方正楷体_GBK" w:eastAsia="方正楷体_GBK" w:cs="方正楷体_GBK"/>
          <w:sz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pStyle w:val="7"/>
        <w:tabs>
          <w:tab w:val="center" w:pos="4153"/>
          <w:tab w:val="left" w:pos="7275"/>
        </w:tabs>
        <w:spacing w:line="550" w:lineRule="exact"/>
        <w:ind w:firstLine="640"/>
        <w:jc w:val="left"/>
        <w:rPr>
          <w:rFonts w:ascii="方正仿宋_GBK" w:eastAsia="方正仿宋_GBK"/>
          <w:sz w:val="32"/>
          <w:szCs w:val="32"/>
        </w:rPr>
      </w:pPr>
      <w:r>
        <w:rPr>
          <w:rFonts w:hint="eastAsia" w:ascii="方正楷体_GBK" w:hAnsi="方正楷体_GBK" w:eastAsia="方正楷体_GBK" w:cs="方正楷体_GBK"/>
          <w:sz w:val="32"/>
        </w:rPr>
        <w:t>（二）其他收入：</w:t>
      </w:r>
      <w:r>
        <w:rPr>
          <w:rFonts w:hint="eastAsia" w:ascii="方正仿宋_GBK" w:eastAsia="方正仿宋_GBK"/>
          <w:sz w:val="32"/>
          <w:szCs w:val="32"/>
        </w:rPr>
        <w:t>指单位取得的除“财政拨款收入”“事业收入”“经营收入”等以外的收入。</w:t>
      </w:r>
    </w:p>
    <w:p>
      <w:pPr>
        <w:pStyle w:val="7"/>
        <w:tabs>
          <w:tab w:val="center" w:pos="4153"/>
          <w:tab w:val="left" w:pos="7275"/>
        </w:tabs>
        <w:spacing w:line="550" w:lineRule="exact"/>
        <w:ind w:firstLine="640"/>
        <w:jc w:val="left"/>
        <w:rPr>
          <w:rFonts w:ascii="方正仿宋_GBK" w:eastAsia="方正仿宋_GBK"/>
          <w:sz w:val="32"/>
          <w:szCs w:val="32"/>
        </w:rPr>
      </w:pPr>
      <w:r>
        <w:rPr>
          <w:rFonts w:hint="eastAsia" w:ascii="方正楷体_GBK" w:hAnsi="方正楷体_GBK" w:eastAsia="方正楷体_GBK" w:cs="方正楷体_GBK"/>
          <w:sz w:val="32"/>
        </w:rPr>
        <w:t>（三）基本支出：</w:t>
      </w:r>
      <w:r>
        <w:rPr>
          <w:rFonts w:hint="eastAsia" w:ascii="方正仿宋_GBK" w:eastAsia="方正仿宋_GBK"/>
          <w:sz w:val="32"/>
          <w:szCs w:val="32"/>
        </w:rPr>
        <w:t>指为保障机构正常运转、完成日常工作任务而发生的人员经费和公用经费。</w:t>
      </w:r>
    </w:p>
    <w:p>
      <w:pPr>
        <w:pStyle w:val="7"/>
        <w:tabs>
          <w:tab w:val="center" w:pos="4153"/>
          <w:tab w:val="left" w:pos="7275"/>
        </w:tabs>
        <w:spacing w:line="550" w:lineRule="exact"/>
        <w:ind w:firstLine="640"/>
        <w:jc w:val="left"/>
        <w:rPr>
          <w:rFonts w:ascii="方正仿宋_GBK" w:eastAsia="方正仿宋_GBK"/>
          <w:sz w:val="32"/>
          <w:szCs w:val="32"/>
        </w:rPr>
      </w:pPr>
      <w:r>
        <w:rPr>
          <w:rFonts w:hint="eastAsia" w:ascii="方正楷体_GBK" w:hAnsi="方正楷体_GBK" w:eastAsia="方正楷体_GBK" w:cs="方正楷体_GBK"/>
          <w:sz w:val="32"/>
        </w:rPr>
        <w:t>（四）项目支出：</w:t>
      </w:r>
      <w:r>
        <w:rPr>
          <w:rFonts w:hint="eastAsia" w:ascii="方正仿宋_GBK" w:eastAsia="方正仿宋_GBK"/>
          <w:sz w:val="32"/>
          <w:szCs w:val="32"/>
        </w:rPr>
        <w:t>指在基本支出之外为完成特定行政任务和事业发展目标所发生的支出。</w:t>
      </w:r>
    </w:p>
    <w:p>
      <w:pPr>
        <w:spacing w:line="550" w:lineRule="exact"/>
        <w:ind w:firstLine="640" w:firstLineChars="200"/>
        <w:rPr>
          <w:rFonts w:ascii="方正仿宋_GBK" w:hAnsi="仿宋_GB2312" w:eastAsia="方正仿宋_GBK" w:cs="仿宋_GB2312"/>
          <w:color w:val="000000"/>
          <w:sz w:val="32"/>
        </w:rPr>
      </w:pPr>
      <w:r>
        <w:rPr>
          <w:rFonts w:hint="eastAsia" w:ascii="方正楷体_GBK" w:hAnsi="方正楷体_GBK" w:eastAsia="方正楷体_GBK" w:cs="方正楷体_GBK"/>
          <w:sz w:val="32"/>
        </w:rPr>
        <w:t>（五）“三公”经费：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50" w:lineRule="exact"/>
        <w:ind w:firstLine="643" w:firstLineChars="200"/>
        <w:rPr>
          <w:rFonts w:ascii="仿宋_GB2312" w:hAnsi="仿宋_GB2312" w:eastAsia="仿宋_GB2312" w:cs="仿宋_GB2312"/>
          <w:b/>
          <w:sz w:val="32"/>
        </w:rPr>
      </w:pPr>
      <w:r>
        <w:rPr>
          <w:rFonts w:hint="eastAsia" w:ascii="方正仿宋_GBK" w:eastAsia="方正仿宋_GBK"/>
          <w:b/>
          <w:color w:val="000000" w:themeColor="text1"/>
          <w:sz w:val="32"/>
          <w:szCs w:val="32"/>
        </w:rPr>
        <w:t>部门</w:t>
      </w:r>
      <w:r>
        <w:rPr>
          <w:rFonts w:ascii="方正仿宋_GBK" w:eastAsia="方正仿宋_GBK"/>
          <w:b/>
          <w:color w:val="000000" w:themeColor="text1"/>
          <w:sz w:val="32"/>
          <w:szCs w:val="32"/>
        </w:rPr>
        <w:t>预算公开联系</w:t>
      </w:r>
      <w:r>
        <w:rPr>
          <w:rFonts w:hint="eastAsia" w:ascii="方正仿宋_GBK" w:eastAsia="方正仿宋_GBK"/>
          <w:b/>
          <w:color w:val="000000" w:themeColor="text1"/>
          <w:sz w:val="32"/>
          <w:szCs w:val="32"/>
        </w:rPr>
        <w:t>人</w:t>
      </w:r>
      <w:r>
        <w:rPr>
          <w:rFonts w:ascii="方正仿宋_GBK" w:eastAsia="方正仿宋_GBK"/>
          <w:b/>
          <w:color w:val="000000" w:themeColor="text1"/>
          <w:sz w:val="32"/>
          <w:szCs w:val="32"/>
        </w:rPr>
        <w:t xml:space="preserve">：刘娟   </w:t>
      </w:r>
      <w:r>
        <w:rPr>
          <w:rFonts w:hint="eastAsia" w:ascii="方正仿宋_GBK" w:eastAsia="方正仿宋_GBK"/>
          <w:b/>
          <w:color w:val="000000" w:themeColor="text1"/>
          <w:sz w:val="32"/>
          <w:szCs w:val="32"/>
        </w:rPr>
        <w:t xml:space="preserve">  联系方式：023-</w:t>
      </w:r>
      <w:r>
        <w:rPr>
          <w:rFonts w:ascii="方正仿宋_GBK" w:eastAsia="方正仿宋_GBK"/>
          <w:b/>
          <w:color w:val="000000" w:themeColor="text1"/>
          <w:sz w:val="32"/>
          <w:szCs w:val="32"/>
        </w:rPr>
        <w:t>78843313</w:t>
      </w:r>
    </w:p>
    <w:sectPr>
      <w:footerReference r:id="rId3" w:type="default"/>
      <w:pgSz w:w="11906" w:h="16838"/>
      <w:pgMar w:top="2098" w:right="1474" w:bottom="1984"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35639"/>
    <w:rsid w:val="000658FD"/>
    <w:rsid w:val="0017151E"/>
    <w:rsid w:val="001A650F"/>
    <w:rsid w:val="00247E66"/>
    <w:rsid w:val="00352410"/>
    <w:rsid w:val="00361B87"/>
    <w:rsid w:val="003F6BC0"/>
    <w:rsid w:val="00435639"/>
    <w:rsid w:val="00581963"/>
    <w:rsid w:val="006E6F50"/>
    <w:rsid w:val="007A785C"/>
    <w:rsid w:val="00930675"/>
    <w:rsid w:val="00A3239A"/>
    <w:rsid w:val="00B90CCC"/>
    <w:rsid w:val="00C14487"/>
    <w:rsid w:val="00C15D37"/>
    <w:rsid w:val="00E4474C"/>
    <w:rsid w:val="4E4F053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uiPriority w:val="0"/>
    <w:rPr>
      <w:rFonts w:ascii="Calibri" w:hAnsi="Calibri" w:eastAsia="宋体" w:cs="Times New Roman"/>
      <w:sz w:val="18"/>
      <w:szCs w:val="18"/>
    </w:rPr>
  </w:style>
  <w:style w:type="paragraph" w:customStyle="1" w:styleId="7">
    <w:name w:val="List Paragraph"/>
    <w:basedOn w:val="1"/>
    <w:qFormat/>
    <w:uiPriority w:val="34"/>
    <w:pPr>
      <w:ind w:firstLine="420" w:firstLineChars="200"/>
    </w:pPr>
  </w:style>
  <w:style w:type="character" w:customStyle="1" w:styleId="8">
    <w:name w:val="页眉 Char"/>
    <w:basedOn w:val="4"/>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346</Words>
  <Characters>1974</Characters>
  <Lines>16</Lines>
  <Paragraphs>4</Paragraphs>
  <TotalTime>0</TotalTime>
  <ScaleCrop>false</ScaleCrop>
  <LinksUpToDate>false</LinksUpToDate>
  <CharactersWithSpaces>2316</CharactersWithSpaces>
  <Application>WPS Office_10.8.0.5809_F1E327BC-269C-435d-A152-05C5408002CA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2025-02-26T02:36:00Z</dcterms:created>
  <dc:creator>user</dc:creator>
  <cp:lastModifiedBy>毛卓航</cp:lastModifiedBy>
  <dcterms:modified xsi:type="dcterms:W3CDTF">2025-03-14T02:39:56Z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2052-10.8.0.5809</vt:lpwstr>
  </property>
</Properties>
</file>