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Times New Roman" w:hAnsi="Times New Roman" w:eastAsia="方正小标宋_GBK"/>
          <w:sz w:val="44"/>
          <w:szCs w:val="44"/>
        </w:rPr>
      </w:pPr>
      <w:r>
        <w:rPr>
          <w:rFonts w:ascii="Times New Roman" w:hAnsi="Times New Roman" w:eastAsia="方正小标宋_GBK"/>
          <w:sz w:val="44"/>
          <w:szCs w:val="44"/>
        </w:rPr>
        <w:t>彭水苗族土家族自治县</w:t>
      </w:r>
      <w:r>
        <w:rPr>
          <w:rFonts w:hint="eastAsia" w:ascii="Times New Roman" w:hAnsi="Times New Roman" w:eastAsia="方正小标宋_GBK"/>
          <w:sz w:val="44"/>
          <w:szCs w:val="44"/>
        </w:rPr>
        <w:t>规划和自然资源</w:t>
      </w:r>
      <w:r>
        <w:rPr>
          <w:rFonts w:ascii="Times New Roman" w:hAnsi="Times New Roman" w:eastAsia="方正小标宋_GBK"/>
          <w:sz w:val="44"/>
          <w:szCs w:val="44"/>
        </w:rPr>
        <w:t>局</w:t>
      </w:r>
    </w:p>
    <w:p>
      <w:pPr>
        <w:spacing w:line="580" w:lineRule="exact"/>
        <w:jc w:val="center"/>
        <w:rPr>
          <w:rFonts w:ascii="Times New Roman" w:hAnsi="Times New Roman" w:eastAsia="方正小标宋_GBK"/>
          <w:sz w:val="36"/>
          <w:szCs w:val="36"/>
        </w:rPr>
      </w:pPr>
      <w:r>
        <w:rPr>
          <w:rFonts w:ascii="Times New Roman" w:hAnsi="Times New Roman" w:eastAsia="方正小标宋_GBK"/>
          <w:sz w:val="36"/>
          <w:szCs w:val="36"/>
        </w:rPr>
        <w:t>关于认定彭水县历史遗留工矿废弃地的</w:t>
      </w:r>
      <w:r>
        <w:rPr>
          <w:rFonts w:hint="eastAsia" w:ascii="Times New Roman" w:hAnsi="Times New Roman" w:eastAsia="方正小标宋_GBK"/>
          <w:sz w:val="36"/>
          <w:szCs w:val="36"/>
        </w:rPr>
        <w:t>公告</w:t>
      </w:r>
    </w:p>
    <w:p>
      <w:pPr>
        <w:spacing w:line="580" w:lineRule="exact"/>
        <w:ind w:firstLine="624" w:firstLineChars="195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24" w:firstLineChars="19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中华人民共和国土地管理法》、国务院《土地复垦条例》、原国土资源部《土地复垦条例实施办法》及《关于印发&lt;历史遗留工矿废弃地复垦利用试点管理办法&gt;的通知》（国土资规〔2015〕1号）规定，由于历史原因无法确定土地复垦义务人的生产建设活动损毁土地，及因政策原因被政府关停和整合的工矿企业损毁土地，认定为历史遗留工矿废弃地。经调查核实，按要求认定因历史原因无法确定土地复垦义务人矿山</w:t>
      </w:r>
      <w:r>
        <w:rPr>
          <w:rFonts w:hint="eastAsia" w:ascii="Times New Roman" w:hAnsi="Times New Roman" w:eastAsia="方正仿宋_GBK"/>
          <w:sz w:val="32"/>
          <w:szCs w:val="32"/>
        </w:rPr>
        <w:t>7</w:t>
      </w:r>
      <w:r>
        <w:rPr>
          <w:rFonts w:ascii="Times New Roman" w:hAnsi="Times New Roman" w:eastAsia="方正仿宋_GBK"/>
          <w:sz w:val="32"/>
          <w:szCs w:val="32"/>
        </w:rPr>
        <w:t>个（</w:t>
      </w:r>
      <w:r>
        <w:rPr>
          <w:rFonts w:hint="eastAsia" w:ascii="Times New Roman" w:hAnsi="Times New Roman" w:eastAsia="方正仿宋_GBK"/>
          <w:sz w:val="32"/>
          <w:szCs w:val="32"/>
        </w:rPr>
        <w:t>见</w:t>
      </w:r>
      <w:r>
        <w:rPr>
          <w:rFonts w:ascii="Times New Roman" w:hAnsi="Times New Roman" w:eastAsia="方正仿宋_GBK"/>
          <w:sz w:val="32"/>
          <w:szCs w:val="32"/>
        </w:rPr>
        <w:t>附件）。</w:t>
      </w: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firstLine="630"/>
        <w:rPr>
          <w:rFonts w:ascii="Times New Roman" w:hAnsi="Times New Roman" w:eastAsia="方正仿宋_GBK"/>
          <w:sz w:val="32"/>
          <w:szCs w:val="32"/>
        </w:rPr>
      </w:pPr>
    </w:p>
    <w:p>
      <w:pPr>
        <w:spacing w:line="580" w:lineRule="exact"/>
        <w:ind w:left="1385" w:leftChars="50" w:hanging="1280" w:hangingChars="400"/>
        <w:jc w:val="lef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附件：彭水县因历史原因无法确定土地复垦义务人矿山情况统计表</w:t>
      </w:r>
    </w:p>
    <w:p>
      <w:pPr>
        <w:spacing w:line="580" w:lineRule="exact"/>
        <w:ind w:left="1385" w:leftChars="50" w:hanging="1280" w:hangingChars="4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</w:t>
      </w:r>
    </w:p>
    <w:p>
      <w:pPr>
        <w:spacing w:line="580" w:lineRule="exact"/>
        <w:ind w:firstLine="645"/>
        <w:rPr>
          <w:rFonts w:ascii="Times New Roman" w:hAnsi="Times New Roman" w:eastAsia="方正仿宋_GBK"/>
          <w:sz w:val="32"/>
          <w:szCs w:val="32"/>
        </w:rPr>
      </w:pPr>
    </w:p>
    <w:p>
      <w:pPr>
        <w:wordWrap w:val="0"/>
        <w:spacing w:line="580" w:lineRule="exact"/>
        <w:ind w:firstLine="645"/>
        <w:jc w:val="right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彭水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自治</w:t>
      </w:r>
      <w:r>
        <w:rPr>
          <w:rFonts w:ascii="Times New Roman" w:hAnsi="Times New Roman" w:eastAsia="方正仿宋_GBK"/>
          <w:sz w:val="32"/>
          <w:szCs w:val="32"/>
        </w:rPr>
        <w:t>县</w:t>
      </w:r>
      <w:r>
        <w:rPr>
          <w:rFonts w:hint="eastAsia" w:ascii="Times New Roman" w:hAnsi="Times New Roman" w:eastAsia="方正仿宋_GBK"/>
          <w:sz w:val="32"/>
          <w:szCs w:val="32"/>
        </w:rPr>
        <w:t>规划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和</w:t>
      </w:r>
      <w:bookmarkStart w:id="0" w:name="_GoBack"/>
      <w:bookmarkEnd w:id="0"/>
      <w:r>
        <w:rPr>
          <w:rFonts w:hint="eastAsia" w:ascii="Times New Roman" w:hAnsi="Times New Roman" w:eastAsia="方正仿宋_GBK"/>
          <w:sz w:val="32"/>
          <w:szCs w:val="32"/>
        </w:rPr>
        <w:t>自然资源</w:t>
      </w:r>
      <w:r>
        <w:rPr>
          <w:rFonts w:ascii="Times New Roman" w:hAnsi="Times New Roman" w:eastAsia="方正仿宋_GBK"/>
          <w:sz w:val="32"/>
          <w:szCs w:val="32"/>
        </w:rPr>
        <w:t>局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  </w:t>
      </w:r>
    </w:p>
    <w:p>
      <w:pPr>
        <w:spacing w:line="580" w:lineRule="exact"/>
        <w:ind w:right="640" w:firstLine="645"/>
        <w:jc w:val="center"/>
        <w:rPr>
          <w:rFonts w:ascii="Times New Roman" w:hAnsi="Times New Roman" w:eastAsia="方正仿宋_GBK"/>
          <w:sz w:val="32"/>
          <w:szCs w:val="32"/>
        </w:rPr>
        <w:sectPr>
          <w:pgSz w:w="11906" w:h="16838"/>
          <w:pgMar w:top="2098" w:right="1474" w:bottom="1985" w:left="1588" w:header="851" w:footer="992" w:gutter="0"/>
          <w:cols w:space="720" w:num="1"/>
          <w:docGrid w:type="linesAndChars" w:linePitch="312" w:charSpace="0"/>
        </w:sectPr>
      </w:pPr>
      <w:r>
        <w:rPr>
          <w:rFonts w:ascii="Times New Roman" w:hAnsi="Times New Roman" w:eastAsia="方正仿宋_GBK"/>
          <w:sz w:val="32"/>
          <w:szCs w:val="32"/>
        </w:rPr>
        <w:t xml:space="preserve">                 </w:t>
      </w:r>
      <w:r>
        <w:rPr>
          <w:rFonts w:ascii="Times New Roman" w:hAnsi="Times New Roman" w:eastAsia="方正仿宋_GBK"/>
          <w:color w:val="FF0000"/>
          <w:sz w:val="32"/>
          <w:szCs w:val="32"/>
        </w:rPr>
        <w:t xml:space="preserve">   </w:t>
      </w:r>
      <w:r>
        <w:rPr>
          <w:rFonts w:hint="eastAsia" w:ascii="Times New Roman" w:hAnsi="Times New Roman" w:eastAsia="方正仿宋_GBK"/>
          <w:color w:val="FF0000"/>
          <w:sz w:val="32"/>
          <w:szCs w:val="32"/>
        </w:rPr>
        <w:t xml:space="preserve">       </w:t>
      </w:r>
      <w:r>
        <w:rPr>
          <w:rFonts w:hint="eastAsia" w:ascii="Times New Roman" w:hAnsi="Times New Roman" w:eastAsia="方正仿宋_GBK"/>
          <w:sz w:val="32"/>
          <w:szCs w:val="32"/>
        </w:rPr>
        <w:t xml:space="preserve"> </w:t>
      </w:r>
      <w:r>
        <w:rPr>
          <w:rFonts w:ascii="Times New Roman" w:hAnsi="Times New Roman" w:eastAsia="方正仿宋_GBK"/>
          <w:sz w:val="32"/>
          <w:szCs w:val="32"/>
        </w:rPr>
        <w:t>20</w:t>
      </w:r>
      <w:r>
        <w:rPr>
          <w:rFonts w:hint="eastAsia" w:ascii="Times New Roman" w:hAnsi="Times New Roman" w:eastAsia="方正仿宋_GBK"/>
          <w:sz w:val="32"/>
          <w:szCs w:val="32"/>
        </w:rPr>
        <w:t>22</w:t>
      </w:r>
      <w:r>
        <w:rPr>
          <w:rFonts w:ascii="Times New Roman" w:hAnsi="Times New Roman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/>
          <w:sz w:val="32"/>
          <w:szCs w:val="32"/>
        </w:rPr>
        <w:t>6</w:t>
      </w:r>
      <w:r>
        <w:rPr>
          <w:rFonts w:ascii="Times New Roman" w:hAnsi="Times New Roman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/>
          <w:sz w:val="32"/>
          <w:szCs w:val="32"/>
        </w:rPr>
        <w:t>16</w:t>
      </w:r>
      <w:r>
        <w:rPr>
          <w:rFonts w:ascii="Times New Roman" w:hAnsi="Times New Roman" w:eastAsia="方正仿宋_GBK"/>
          <w:sz w:val="32"/>
          <w:szCs w:val="32"/>
        </w:rPr>
        <w:t>日</w:t>
      </w:r>
    </w:p>
    <w:p>
      <w:pPr>
        <w:spacing w:line="600" w:lineRule="exact"/>
        <w:ind w:right="640"/>
        <w:jc w:val="left"/>
        <w:rPr>
          <w:rFonts w:ascii="方正黑体_GBK" w:hAnsi="Times New Roman" w:eastAsia="方正黑体_GBK"/>
          <w:sz w:val="44"/>
          <w:szCs w:val="44"/>
        </w:rPr>
      </w:pPr>
      <w:r>
        <w:rPr>
          <w:rFonts w:ascii="Times New Roman" w:hAnsi="Times New Roman" w:eastAsia="方正仿宋_GBK"/>
          <w:sz w:val="32"/>
          <w:szCs w:val="32"/>
        </w:rPr>
        <w:t>附件：</w:t>
      </w:r>
    </w:p>
    <w:p>
      <w:pPr>
        <w:spacing w:line="520" w:lineRule="exact"/>
        <w:ind w:right="641"/>
        <w:jc w:val="center"/>
        <w:rPr>
          <w:rFonts w:ascii="方正黑体_GBK" w:hAnsi="Times New Roman" w:eastAsia="方正黑体_GBK"/>
          <w:sz w:val="44"/>
          <w:szCs w:val="44"/>
        </w:rPr>
      </w:pPr>
      <w:r>
        <w:rPr>
          <w:rFonts w:hint="eastAsia" w:ascii="方正黑体_GBK" w:hAnsi="Times New Roman" w:eastAsia="方正黑体_GBK"/>
          <w:sz w:val="44"/>
          <w:szCs w:val="44"/>
        </w:rPr>
        <w:t>彭水县因历史原因无法确定土地复垦义务人矿山情况统计表</w:t>
      </w:r>
    </w:p>
    <w:tbl>
      <w:tblPr>
        <w:tblStyle w:val="6"/>
        <w:tblW w:w="142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2944"/>
        <w:gridCol w:w="2268"/>
        <w:gridCol w:w="1985"/>
        <w:gridCol w:w="5325"/>
        <w:gridCol w:w="1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图版编号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矿山名称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位置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四至坐标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面积</w:t>
            </w:r>
          </w:p>
          <w:p>
            <w:pPr>
              <w:widowControl/>
              <w:jc w:val="center"/>
              <w:textAlignment w:val="center"/>
              <w:rPr>
                <w:rFonts w:ascii="Times New Roman" w:hAnsi="Times New Roman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/>
                <w:b/>
                <w:color w:val="000000"/>
                <w:kern w:val="0"/>
                <w:szCs w:val="21"/>
              </w:rPr>
              <w:t>（公顷）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50024320201373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color w:val="auto"/>
              </w:rPr>
              <w:t>高桥村废弃</w:t>
            </w:r>
            <w:r>
              <w:rPr>
                <w:rStyle w:val="15"/>
                <w:rFonts w:hint="default"/>
                <w:color w:val="auto"/>
              </w:rPr>
              <w:t>石材加工厂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重庆市彭水县太原镇高桥村一组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1,3283523.25,36523912.51,2,3283498.43,36523877.69,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3,3283525.89,36523862.29,4,3283535.01,36523907.42,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0.0923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2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C5002432010037120064163001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彭水县隆准建材有限公司建筑石料用灰岩矿2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重庆市彭水县新田镇马峰社区一组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1,3227623.83,36525092.68,2,3227543.02,36525007.68,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3,3227590.21,36524956.01,4,3227672.76,36525013.16,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0.8944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50024320201085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彭水县隆准建材有限公司建筑石料用灰岩矿1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重庆市彭水县新田镇马峰社区一组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1,3227667.26,36524906.09,2,3227572.44,36524821.74,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3,3227685.47,36524719.83,4,3227741.25,36524781.29,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1.5195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4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ZJ5002432021004001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岩角沙场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重庆市彭水县大垭乡冬瓜村三组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1,3211935.72,36486463.25,2,3211812.96,36486377.34,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3,3212011.85,36486313.89,4,3212033.97,36486337.26,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1.3753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5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50024320201371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宗木堂废弃采石场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重庆市彭水县太原镇曲阳村一组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1,3282553.92,36522585.44,2,3282544.91,36522503.56,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3,3282729.74,36522377.92,4,3282777.47,36522405.03,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1.4885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6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C5002432010126130097959001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岩角村5组13号采石场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重庆市彭水县润溪乡岩角村五组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1,3223929.87,36490904.93,2,3223872.95,36490808.98,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3,3223887.37,36490777.23,4,3223985.66,36490882.00,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0.6774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7</w:t>
            </w:r>
          </w:p>
        </w:tc>
        <w:tc>
          <w:tcPr>
            <w:tcW w:w="2944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C5002432010097130077222001</w:t>
            </w:r>
          </w:p>
        </w:tc>
        <w:tc>
          <w:tcPr>
            <w:tcW w:w="2268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重庆木文皇矿业有限公司彭水县三远大理石矿厂1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重庆市彭水县保家镇东流村</w:t>
            </w:r>
          </w:p>
        </w:tc>
        <w:tc>
          <w:tcPr>
            <w:tcW w:w="532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1,3256306.65,36532673.93,2,3256247.67,36532611.78,</w:t>
            </w:r>
          </w:p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3,3256322.18,36532478.55,4,3256444.48,36532544.86,</w:t>
            </w:r>
          </w:p>
        </w:tc>
        <w:tc>
          <w:tcPr>
            <w:tcW w:w="1045" w:type="dxa"/>
            <w:vAlign w:val="center"/>
          </w:tcPr>
          <w:p>
            <w:pPr>
              <w:widowControl/>
              <w:adjustRightInd w:val="0"/>
              <w:snapToGrid w:val="0"/>
              <w:spacing w:line="288" w:lineRule="auto"/>
              <w:jc w:val="center"/>
              <w:textAlignment w:val="center"/>
              <w:rPr>
                <w:rStyle w:val="15"/>
                <w:rFonts w:hint="default"/>
                <w:color w:val="auto"/>
              </w:rPr>
            </w:pPr>
            <w:r>
              <w:rPr>
                <w:rStyle w:val="15"/>
                <w:rFonts w:hint="default"/>
                <w:color w:val="auto"/>
              </w:rPr>
              <w:t>1.7181</w:t>
            </w:r>
          </w:p>
        </w:tc>
      </w:tr>
    </w:tbl>
    <w:p>
      <w:pPr>
        <w:spacing w:line="520" w:lineRule="exact"/>
        <w:ind w:right="641"/>
        <w:jc w:val="center"/>
        <w:rPr>
          <w:rFonts w:ascii="方正黑体_GBK" w:hAnsi="Times New Roman" w:eastAsia="方正黑体_GBK"/>
          <w:sz w:val="44"/>
          <w:szCs w:val="44"/>
        </w:rPr>
      </w:pPr>
    </w:p>
    <w:sectPr>
      <w:pgSz w:w="16838" w:h="11906" w:orient="landscape"/>
      <w:pgMar w:top="1797" w:right="1440" w:bottom="1797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7973"/>
    <w:rsid w:val="00056898"/>
    <w:rsid w:val="000868B6"/>
    <w:rsid w:val="00151350"/>
    <w:rsid w:val="00183C00"/>
    <w:rsid w:val="00192462"/>
    <w:rsid w:val="002078CA"/>
    <w:rsid w:val="00246CE1"/>
    <w:rsid w:val="002E0AEF"/>
    <w:rsid w:val="003C44C3"/>
    <w:rsid w:val="003D1F89"/>
    <w:rsid w:val="0048529E"/>
    <w:rsid w:val="005E13E9"/>
    <w:rsid w:val="00660E7A"/>
    <w:rsid w:val="0078046B"/>
    <w:rsid w:val="007E2B6A"/>
    <w:rsid w:val="007F07E3"/>
    <w:rsid w:val="00807074"/>
    <w:rsid w:val="008D2860"/>
    <w:rsid w:val="008E15BC"/>
    <w:rsid w:val="009333E6"/>
    <w:rsid w:val="009D638B"/>
    <w:rsid w:val="00B10A34"/>
    <w:rsid w:val="00B37973"/>
    <w:rsid w:val="00BB39DF"/>
    <w:rsid w:val="00BB7FD9"/>
    <w:rsid w:val="00C069BB"/>
    <w:rsid w:val="00C161B7"/>
    <w:rsid w:val="00C8221D"/>
    <w:rsid w:val="00CD4DE3"/>
    <w:rsid w:val="00DD7E82"/>
    <w:rsid w:val="00E43BCB"/>
    <w:rsid w:val="00E8237D"/>
    <w:rsid w:val="00EB011F"/>
    <w:rsid w:val="00EB023C"/>
    <w:rsid w:val="00F41DE2"/>
    <w:rsid w:val="00FA1613"/>
    <w:rsid w:val="7F8C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0"/>
    <w:rPr>
      <w:sz w:val="18"/>
      <w:szCs w:val="18"/>
    </w:rPr>
  </w:style>
  <w:style w:type="character" w:customStyle="1" w:styleId="9">
    <w:name w:val="页脚 Char"/>
    <w:basedOn w:val="7"/>
    <w:link w:val="3"/>
    <w:uiPriority w:val="0"/>
    <w:rPr>
      <w:sz w:val="18"/>
      <w:szCs w:val="18"/>
    </w:rPr>
  </w:style>
  <w:style w:type="character" w:customStyle="1" w:styleId="10">
    <w:name w:val="font12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1">
    <w:name w:val="font0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2">
    <w:name w:val="font7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91"/>
    <w:basedOn w:val="7"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101"/>
    <w:basedOn w:val="7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5">
    <w:name w:val="font112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51"/>
    <w:basedOn w:val="7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61"/>
    <w:basedOn w:val="7"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8">
    <w:name w:val="批注框文本 Char"/>
    <w:basedOn w:val="7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1302</Characters>
  <Lines>10</Lines>
  <Paragraphs>3</Paragraphs>
  <TotalTime>340</TotalTime>
  <ScaleCrop>false</ScaleCrop>
  <LinksUpToDate>false</LinksUpToDate>
  <CharactersWithSpaces>1527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2021-06-16T03:41:00Z</dcterms:created>
  <dc:creator>lenovo</dc:creator>
  <cp:lastModifiedBy>Administrator</cp:lastModifiedBy>
  <cp:lastPrinted>2021-06-25T02:11:00Z</cp:lastPrinted>
  <dcterms:modified xsi:type="dcterms:W3CDTF">2022-06-16T06:49:47Z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14941B9E7DAC4CD6859E0471CDBA1268</vt:lpwstr>
  </property>
</Properties>
</file>