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1A2" w:rsidRDefault="00DC3AC1">
      <w:pPr>
        <w:pStyle w:val="a5"/>
        <w:shd w:val="clear" w:color="auto" w:fill="FFFFFF"/>
        <w:spacing w:before="0" w:beforeAutospacing="0" w:after="0" w:afterAutospacing="0" w:line="560" w:lineRule="exact"/>
        <w:jc w:val="center"/>
        <w:rPr>
          <w:rFonts w:ascii="Times New Roman" w:eastAsia="方正小标宋_GBK" w:hAnsi="Times New Roman" w:cs="Times New Roman"/>
          <w:color w:val="333333"/>
          <w:sz w:val="44"/>
          <w:szCs w:val="44"/>
        </w:rPr>
      </w:pPr>
      <w:r>
        <w:rPr>
          <w:rStyle w:val="a6"/>
          <w:rFonts w:ascii="Times New Roman" w:eastAsia="方正小标宋_GBK" w:hAnsi="Times New Roman" w:cs="Times New Roman"/>
          <w:b w:val="0"/>
          <w:bCs w:val="0"/>
          <w:color w:val="333333"/>
          <w:sz w:val="44"/>
          <w:szCs w:val="44"/>
        </w:rPr>
        <w:t>《彭水苗族土家族自治县</w:t>
      </w:r>
      <w:r>
        <w:rPr>
          <w:rStyle w:val="a6"/>
          <w:rFonts w:ascii="Times New Roman" w:eastAsia="方正小标宋_GBK" w:hAnsi="Times New Roman" w:cs="Times New Roman"/>
          <w:b w:val="0"/>
          <w:bCs w:val="0"/>
          <w:color w:val="333333"/>
          <w:sz w:val="44"/>
          <w:szCs w:val="44"/>
        </w:rPr>
        <w:t>人民政府</w:t>
      </w:r>
      <w:r>
        <w:rPr>
          <w:rStyle w:val="a6"/>
          <w:rFonts w:ascii="Times New Roman" w:eastAsia="方正小标宋_GBK" w:hAnsi="Times New Roman" w:cs="Times New Roman"/>
          <w:b w:val="0"/>
          <w:bCs w:val="0"/>
          <w:color w:val="333333"/>
          <w:sz w:val="44"/>
          <w:szCs w:val="44"/>
        </w:rPr>
        <w:t>关于公布国有建设用地使用权土地级别和基准地价的通知》</w:t>
      </w:r>
      <w:r>
        <w:rPr>
          <w:rStyle w:val="a6"/>
          <w:rFonts w:ascii="Times New Roman" w:eastAsia="方正小标宋_GBK" w:hAnsi="Times New Roman" w:cs="Times New Roman"/>
          <w:b w:val="0"/>
          <w:bCs w:val="0"/>
          <w:color w:val="333333"/>
          <w:sz w:val="44"/>
          <w:szCs w:val="44"/>
        </w:rPr>
        <w:t>的</w:t>
      </w:r>
      <w:r>
        <w:rPr>
          <w:rStyle w:val="a6"/>
          <w:rFonts w:ascii="Times New Roman" w:eastAsia="方正小标宋_GBK" w:hAnsi="Times New Roman" w:cs="Times New Roman"/>
          <w:b w:val="0"/>
          <w:bCs w:val="0"/>
          <w:color w:val="333333"/>
          <w:sz w:val="44"/>
          <w:szCs w:val="44"/>
        </w:rPr>
        <w:t>政策解读</w:t>
      </w:r>
    </w:p>
    <w:p w:rsidR="008461A2" w:rsidRDefault="008461A2">
      <w:pPr>
        <w:pStyle w:val="a5"/>
        <w:shd w:val="clear" w:color="auto" w:fill="FFFFFF"/>
        <w:spacing w:before="0" w:beforeAutospacing="0" w:after="0" w:afterAutospacing="0" w:line="560" w:lineRule="exact"/>
        <w:ind w:firstLine="480"/>
        <w:jc w:val="both"/>
        <w:rPr>
          <w:rStyle w:val="a6"/>
          <w:rFonts w:ascii="Times New Roman" w:eastAsia="方正仿宋_GBK" w:hAnsi="Times New Roman" w:cs="Times New Roman"/>
          <w:b w:val="0"/>
          <w:bCs w:val="0"/>
          <w:color w:val="333333"/>
          <w:sz w:val="32"/>
          <w:szCs w:val="32"/>
        </w:rPr>
      </w:pPr>
    </w:p>
    <w:p w:rsidR="008461A2" w:rsidRDefault="00DC3AC1">
      <w:pPr>
        <w:pStyle w:val="a5"/>
        <w:shd w:val="clear" w:color="auto" w:fill="FFFFFF"/>
        <w:spacing w:before="0" w:beforeAutospacing="0" w:after="0" w:afterAutospacing="0" w:line="560" w:lineRule="exact"/>
        <w:ind w:firstLine="480"/>
        <w:jc w:val="both"/>
        <w:rPr>
          <w:rStyle w:val="a6"/>
          <w:rFonts w:ascii="Times New Roman" w:eastAsia="方正仿宋_GBK" w:hAnsi="Times New Roman" w:cs="Times New Roman"/>
          <w:b w:val="0"/>
          <w:bCs w:val="0"/>
          <w:color w:val="333333"/>
          <w:sz w:val="32"/>
          <w:szCs w:val="32"/>
        </w:rPr>
      </w:pPr>
      <w:r>
        <w:rPr>
          <w:rStyle w:val="a6"/>
          <w:rFonts w:ascii="Times New Roman" w:eastAsia="方正仿宋_GBK" w:hAnsi="Times New Roman" w:cs="Times New Roman"/>
          <w:b w:val="0"/>
          <w:bCs w:val="0"/>
          <w:color w:val="333333"/>
          <w:sz w:val="32"/>
          <w:szCs w:val="32"/>
        </w:rPr>
        <w:t>2022</w:t>
      </w:r>
      <w:r>
        <w:rPr>
          <w:rStyle w:val="a6"/>
          <w:rFonts w:ascii="Times New Roman" w:eastAsia="方正仿宋_GBK" w:hAnsi="Times New Roman" w:cs="Times New Roman"/>
          <w:b w:val="0"/>
          <w:bCs w:val="0"/>
          <w:color w:val="333333"/>
          <w:sz w:val="32"/>
          <w:szCs w:val="32"/>
        </w:rPr>
        <w:t>年</w:t>
      </w:r>
      <w:r>
        <w:rPr>
          <w:rStyle w:val="a6"/>
          <w:rFonts w:ascii="Times New Roman" w:eastAsia="方正仿宋_GBK" w:hAnsi="Times New Roman" w:cs="Times New Roman"/>
          <w:b w:val="0"/>
          <w:bCs w:val="0"/>
          <w:color w:val="333333"/>
          <w:sz w:val="32"/>
          <w:szCs w:val="32"/>
        </w:rPr>
        <w:t>7</w:t>
      </w:r>
      <w:r>
        <w:rPr>
          <w:rStyle w:val="a6"/>
          <w:rFonts w:ascii="Times New Roman" w:eastAsia="方正仿宋_GBK" w:hAnsi="Times New Roman" w:cs="Times New Roman"/>
          <w:b w:val="0"/>
          <w:bCs w:val="0"/>
          <w:color w:val="333333"/>
          <w:sz w:val="32"/>
          <w:szCs w:val="32"/>
        </w:rPr>
        <w:t>月</w:t>
      </w:r>
      <w:r>
        <w:rPr>
          <w:rStyle w:val="a6"/>
          <w:rFonts w:ascii="Times New Roman" w:eastAsia="方正仿宋_GBK" w:hAnsi="Times New Roman" w:cs="Times New Roman"/>
          <w:b w:val="0"/>
          <w:bCs w:val="0"/>
          <w:color w:val="333333"/>
          <w:sz w:val="32"/>
          <w:szCs w:val="32"/>
        </w:rPr>
        <w:t>19</w:t>
      </w:r>
      <w:r>
        <w:rPr>
          <w:rStyle w:val="a6"/>
          <w:rFonts w:ascii="Times New Roman" w:eastAsia="方正仿宋_GBK" w:hAnsi="Times New Roman" w:cs="Times New Roman"/>
          <w:b w:val="0"/>
          <w:bCs w:val="0"/>
          <w:color w:val="333333"/>
          <w:sz w:val="32"/>
          <w:szCs w:val="32"/>
        </w:rPr>
        <w:t>日，彭水苗族土家族自治县人民政府印发了《关于公布国有建设用地使用权土地级别和基准地价的通知》</w:t>
      </w:r>
      <w:r>
        <w:rPr>
          <w:rStyle w:val="a6"/>
          <w:rFonts w:ascii="Times New Roman" w:eastAsia="方正仿宋_GBK" w:hAnsi="Times New Roman" w:cs="Times New Roman" w:hint="eastAsia"/>
          <w:b w:val="0"/>
          <w:bCs w:val="0"/>
          <w:color w:val="333333"/>
          <w:sz w:val="32"/>
          <w:szCs w:val="32"/>
        </w:rPr>
        <w:t>（以下简称通知）</w:t>
      </w:r>
      <w:r>
        <w:rPr>
          <w:rStyle w:val="a6"/>
          <w:rFonts w:ascii="Times New Roman" w:eastAsia="方正仿宋_GBK" w:hAnsi="Times New Roman" w:cs="Times New Roman"/>
          <w:b w:val="0"/>
          <w:bCs w:val="0"/>
          <w:color w:val="333333"/>
          <w:sz w:val="32"/>
          <w:szCs w:val="32"/>
        </w:rPr>
        <w:t>，</w:t>
      </w:r>
      <w:r>
        <w:rPr>
          <w:rStyle w:val="a6"/>
          <w:rFonts w:ascii="Times New Roman" w:eastAsia="方正仿宋_GBK" w:hAnsi="Times New Roman" w:cs="Times New Roman"/>
          <w:b w:val="0"/>
          <w:bCs w:val="0"/>
          <w:color w:val="333333"/>
          <w:sz w:val="32"/>
          <w:szCs w:val="32"/>
        </w:rPr>
        <w:t>为便于正确理解执行，现对其内容解读如下</w:t>
      </w:r>
      <w:r>
        <w:rPr>
          <w:rStyle w:val="a6"/>
          <w:rFonts w:ascii="Times New Roman" w:eastAsia="方正仿宋_GBK" w:hAnsi="Times New Roman" w:cs="Times New Roman"/>
          <w:b w:val="0"/>
          <w:bCs w:val="0"/>
          <w:color w:val="333333"/>
          <w:sz w:val="32"/>
          <w:szCs w:val="32"/>
        </w:rPr>
        <w:t>：</w:t>
      </w:r>
    </w:p>
    <w:p w:rsidR="008461A2" w:rsidRDefault="00DC3AC1" w:rsidP="008461A2">
      <w:pPr>
        <w:pStyle w:val="a5"/>
        <w:shd w:val="clear" w:color="auto" w:fill="FFFFFF"/>
        <w:spacing w:before="0" w:beforeAutospacing="0" w:after="0" w:afterAutospacing="0" w:line="560" w:lineRule="exact"/>
        <w:ind w:firstLineChars="200" w:firstLine="634"/>
        <w:jc w:val="both"/>
        <w:rPr>
          <w:rFonts w:ascii="Times New Roman" w:eastAsia="方正黑体_GBK" w:hAnsi="Times New Roman" w:cs="Times New Roman"/>
          <w:color w:val="333333"/>
          <w:sz w:val="32"/>
          <w:szCs w:val="32"/>
        </w:rPr>
      </w:pPr>
      <w:r>
        <w:rPr>
          <w:rStyle w:val="a6"/>
          <w:rFonts w:ascii="Times New Roman" w:eastAsia="方正黑体_GBK" w:hAnsi="Times New Roman" w:cs="Times New Roman"/>
          <w:color w:val="333333"/>
          <w:sz w:val="32"/>
          <w:szCs w:val="32"/>
        </w:rPr>
        <w:t>一、基准地价更新的背景及思路</w:t>
      </w:r>
    </w:p>
    <w:p w:rsidR="008461A2" w:rsidRDefault="00DC3AC1">
      <w:pPr>
        <w:pStyle w:val="a5"/>
        <w:shd w:val="clear" w:color="auto" w:fill="FFFFFF"/>
        <w:spacing w:before="0" w:beforeAutospacing="0" w:after="0" w:afterAutospacing="0" w:line="560" w:lineRule="exact"/>
        <w:ind w:firstLineChars="200" w:firstLine="632"/>
        <w:jc w:val="both"/>
        <w:rPr>
          <w:rFonts w:ascii="Times New Roman" w:eastAsia="方正仿宋_GBK" w:hAnsi="Times New Roman" w:cs="Times New Roman"/>
          <w:color w:val="333333"/>
          <w:sz w:val="32"/>
          <w:szCs w:val="32"/>
        </w:rPr>
      </w:pPr>
      <w:r>
        <w:rPr>
          <w:rFonts w:ascii="Times New Roman" w:eastAsia="方正楷体_GBK" w:hAnsi="Times New Roman" w:cs="Times New Roman"/>
          <w:color w:val="333333"/>
          <w:sz w:val="32"/>
          <w:szCs w:val="32"/>
        </w:rPr>
        <w:t>（一）国家有关要求。</w:t>
      </w:r>
      <w:r>
        <w:rPr>
          <w:rFonts w:ascii="Times New Roman" w:eastAsia="方正仿宋_GBK" w:hAnsi="Times New Roman" w:cs="Times New Roman"/>
          <w:color w:val="333333"/>
          <w:sz w:val="32"/>
          <w:szCs w:val="32"/>
        </w:rPr>
        <w:t>基准地价是通过先划分不同的土地级别，再按照不同用途、不同级别评估确定级别平均价格来建立基准地价。主要应用于地价评估、集体决策确定土地出让底价（不得低于基准地价的</w:t>
      </w:r>
      <w:r>
        <w:rPr>
          <w:rFonts w:ascii="Times New Roman" w:eastAsia="方正仿宋_GBK" w:hAnsi="Times New Roman" w:cs="Times New Roman"/>
          <w:color w:val="333333"/>
          <w:sz w:val="32"/>
          <w:szCs w:val="32"/>
        </w:rPr>
        <w:t>70%</w:t>
      </w:r>
      <w:r>
        <w:rPr>
          <w:rFonts w:ascii="Times New Roman" w:eastAsia="方正仿宋_GBK" w:hAnsi="Times New Roman" w:cs="Times New Roman"/>
          <w:color w:val="333333"/>
          <w:sz w:val="32"/>
          <w:szCs w:val="32"/>
        </w:rPr>
        <w:t>）、土地收益核算、自然资源资产价值核算等方面。《城市房地产管理法》规定</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基准地价、标定地价和各类房屋重置价格应当定期确定并公布</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2020</w:t>
      </w:r>
      <w:r>
        <w:rPr>
          <w:rFonts w:ascii="Times New Roman" w:eastAsia="方正仿宋_GBK" w:hAnsi="Times New Roman" w:cs="Times New Roman"/>
          <w:color w:val="333333"/>
          <w:sz w:val="32"/>
          <w:szCs w:val="32"/>
        </w:rPr>
        <w:t>年，《中共中央国务院关于构建更加完善的要素市场化配置体制机制的意见》提出</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完善城乡基准地价、标定地价的制定与发布制度，逐步形成与市场价格挂钩的动态调整机制</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。按照规定，基准地价应视市场情况更新，更新频率不得低</w:t>
      </w:r>
      <w:r>
        <w:rPr>
          <w:rFonts w:ascii="Times New Roman" w:eastAsia="方正仿宋_GBK" w:hAnsi="Times New Roman" w:cs="Times New Roman"/>
          <w:color w:val="333333"/>
          <w:sz w:val="32"/>
          <w:szCs w:val="32"/>
        </w:rPr>
        <w:t>于每</w:t>
      </w:r>
      <w:r>
        <w:rPr>
          <w:rFonts w:ascii="Times New Roman" w:eastAsia="方正仿宋_GBK" w:hAnsi="Times New Roman" w:cs="Times New Roman"/>
          <w:color w:val="333333"/>
          <w:sz w:val="32"/>
          <w:szCs w:val="32"/>
        </w:rPr>
        <w:t>3</w:t>
      </w:r>
      <w:r>
        <w:rPr>
          <w:rFonts w:ascii="Times New Roman" w:eastAsia="方正仿宋_GBK" w:hAnsi="Times New Roman" w:cs="Times New Roman"/>
          <w:color w:val="333333"/>
          <w:sz w:val="32"/>
          <w:szCs w:val="32"/>
        </w:rPr>
        <w:t>年一次，每隔</w:t>
      </w:r>
      <w:r>
        <w:rPr>
          <w:rFonts w:ascii="Times New Roman" w:eastAsia="方正仿宋_GBK" w:hAnsi="Times New Roman" w:cs="Times New Roman"/>
          <w:color w:val="333333"/>
          <w:sz w:val="32"/>
          <w:szCs w:val="32"/>
        </w:rPr>
        <w:t>5</w:t>
      </w:r>
      <w:r>
        <w:rPr>
          <w:rFonts w:ascii="Times New Roman" w:eastAsia="方正仿宋_GBK" w:hAnsi="Times New Roman" w:cs="Times New Roman"/>
          <w:color w:val="333333"/>
          <w:sz w:val="32"/>
          <w:szCs w:val="32"/>
        </w:rPr>
        <w:t>年应进行一次全面更新。</w:t>
      </w:r>
    </w:p>
    <w:p w:rsidR="008461A2" w:rsidRDefault="00DC3AC1">
      <w:pPr>
        <w:pStyle w:val="a5"/>
        <w:shd w:val="clear" w:color="auto" w:fill="FFFFFF"/>
        <w:spacing w:before="0" w:beforeAutospacing="0" w:after="0" w:afterAutospacing="0" w:line="560" w:lineRule="exact"/>
        <w:ind w:firstLineChars="200" w:firstLine="632"/>
        <w:jc w:val="both"/>
        <w:rPr>
          <w:rFonts w:ascii="Times New Roman" w:eastAsia="方正仿宋_GBK" w:hAnsi="Times New Roman" w:cs="Times New Roman"/>
          <w:color w:val="333333"/>
          <w:sz w:val="32"/>
          <w:szCs w:val="32"/>
        </w:rPr>
      </w:pPr>
      <w:r>
        <w:rPr>
          <w:rFonts w:ascii="Times New Roman" w:eastAsia="方正楷体_GBK" w:hAnsi="Times New Roman" w:cs="Times New Roman"/>
          <w:color w:val="333333"/>
          <w:sz w:val="32"/>
          <w:szCs w:val="32"/>
        </w:rPr>
        <w:t>（二）</w:t>
      </w:r>
      <w:r>
        <w:rPr>
          <w:rFonts w:ascii="Times New Roman" w:eastAsia="方正楷体_GBK" w:hAnsi="Times New Roman" w:cs="Times New Roman"/>
          <w:color w:val="333333"/>
          <w:sz w:val="32"/>
          <w:szCs w:val="32"/>
        </w:rPr>
        <w:t>现行</w:t>
      </w:r>
      <w:r>
        <w:rPr>
          <w:rFonts w:ascii="Times New Roman" w:eastAsia="方正楷体_GBK" w:hAnsi="Times New Roman" w:cs="Times New Roman"/>
          <w:color w:val="333333"/>
          <w:sz w:val="32"/>
          <w:szCs w:val="32"/>
        </w:rPr>
        <w:t>基准地价实施情况。</w:t>
      </w:r>
      <w:r>
        <w:rPr>
          <w:rFonts w:ascii="Times New Roman" w:eastAsia="方正仿宋_GBK" w:hAnsi="Times New Roman" w:cs="Times New Roman"/>
          <w:color w:val="333333"/>
          <w:sz w:val="32"/>
          <w:szCs w:val="32"/>
        </w:rPr>
        <w:t>我县现行土地级别和基准地价于</w:t>
      </w:r>
      <w:r>
        <w:rPr>
          <w:rFonts w:ascii="Times New Roman" w:eastAsia="方正仿宋_GBK" w:hAnsi="Times New Roman" w:cs="Times New Roman"/>
          <w:color w:val="333333"/>
          <w:sz w:val="32"/>
          <w:szCs w:val="32"/>
        </w:rPr>
        <w:t>2016</w:t>
      </w:r>
      <w:r>
        <w:rPr>
          <w:rFonts w:ascii="Times New Roman" w:eastAsia="方正仿宋_GBK" w:hAnsi="Times New Roman" w:cs="Times New Roman"/>
          <w:color w:val="333333"/>
          <w:sz w:val="32"/>
          <w:szCs w:val="32"/>
        </w:rPr>
        <w:t>年</w:t>
      </w:r>
      <w:r>
        <w:rPr>
          <w:rFonts w:ascii="Times New Roman" w:eastAsia="方正仿宋_GBK" w:hAnsi="Times New Roman" w:cs="Times New Roman"/>
          <w:color w:val="333333"/>
          <w:sz w:val="32"/>
          <w:szCs w:val="32"/>
        </w:rPr>
        <w:t>10</w:t>
      </w:r>
      <w:r>
        <w:rPr>
          <w:rFonts w:ascii="Times New Roman" w:eastAsia="方正仿宋_GBK" w:hAnsi="Times New Roman" w:cs="Times New Roman"/>
          <w:color w:val="333333"/>
          <w:sz w:val="32"/>
          <w:szCs w:val="32"/>
        </w:rPr>
        <w:t>月更新公布，实施以来，在助力我县招商引资、</w:t>
      </w:r>
      <w:r>
        <w:rPr>
          <w:rFonts w:ascii="Times New Roman" w:eastAsia="方正仿宋_GBK" w:hAnsi="Times New Roman" w:cs="Times New Roman"/>
          <w:color w:val="333333"/>
          <w:sz w:val="32"/>
          <w:szCs w:val="32"/>
        </w:rPr>
        <w:lastRenderedPageBreak/>
        <w:t>保障土地财政收入、调控土地及房地产市场等方面发挥了显著作用，充分体现了基准地价的宏观调控作用。</w:t>
      </w:r>
    </w:p>
    <w:p w:rsidR="008461A2" w:rsidRDefault="00DC3AC1">
      <w:pPr>
        <w:pStyle w:val="a5"/>
        <w:shd w:val="clear" w:color="auto" w:fill="FFFFFF"/>
        <w:spacing w:before="0" w:beforeAutospacing="0" w:after="0" w:afterAutospacing="0" w:line="560" w:lineRule="exact"/>
        <w:ind w:firstLineChars="200" w:firstLine="632"/>
        <w:jc w:val="both"/>
        <w:rPr>
          <w:rFonts w:ascii="Times New Roman" w:eastAsia="方正仿宋_GBK" w:hAnsi="Times New Roman" w:cs="Times New Roman"/>
          <w:color w:val="333333"/>
          <w:sz w:val="32"/>
          <w:szCs w:val="32"/>
        </w:rPr>
      </w:pPr>
      <w:r>
        <w:rPr>
          <w:rFonts w:ascii="Times New Roman" w:eastAsia="方正仿宋_GBK" w:hAnsi="Times New Roman" w:cs="Times New Roman"/>
          <w:color w:val="333333"/>
          <w:sz w:val="32"/>
          <w:szCs w:val="32"/>
        </w:rPr>
        <w:t>现行基准地价以</w:t>
      </w:r>
      <w:r>
        <w:rPr>
          <w:rFonts w:ascii="Times New Roman" w:eastAsia="方正仿宋_GBK" w:hAnsi="Times New Roman" w:cs="Times New Roman"/>
          <w:color w:val="333333"/>
          <w:sz w:val="32"/>
          <w:szCs w:val="32"/>
        </w:rPr>
        <w:t>2016</w:t>
      </w:r>
      <w:r>
        <w:rPr>
          <w:rFonts w:ascii="Times New Roman" w:eastAsia="方正仿宋_GBK" w:hAnsi="Times New Roman" w:cs="Times New Roman"/>
          <w:color w:val="333333"/>
          <w:sz w:val="32"/>
          <w:szCs w:val="32"/>
        </w:rPr>
        <w:t>年</w:t>
      </w:r>
      <w:r>
        <w:rPr>
          <w:rFonts w:ascii="Times New Roman" w:eastAsia="方正仿宋_GBK" w:hAnsi="Times New Roman" w:cs="Times New Roman"/>
          <w:color w:val="333333"/>
          <w:sz w:val="32"/>
          <w:szCs w:val="32"/>
        </w:rPr>
        <w:t>1</w:t>
      </w:r>
      <w:r>
        <w:rPr>
          <w:rFonts w:ascii="Times New Roman" w:eastAsia="方正仿宋_GBK" w:hAnsi="Times New Roman" w:cs="Times New Roman"/>
          <w:color w:val="333333"/>
          <w:sz w:val="32"/>
          <w:szCs w:val="32"/>
        </w:rPr>
        <w:t>月</w:t>
      </w:r>
      <w:r>
        <w:rPr>
          <w:rFonts w:ascii="Times New Roman" w:eastAsia="方正仿宋_GBK" w:hAnsi="Times New Roman" w:cs="Times New Roman"/>
          <w:color w:val="333333"/>
          <w:sz w:val="32"/>
          <w:szCs w:val="32"/>
        </w:rPr>
        <w:t>1</w:t>
      </w:r>
      <w:r>
        <w:rPr>
          <w:rFonts w:ascii="Times New Roman" w:eastAsia="方正仿宋_GBK" w:hAnsi="Times New Roman" w:cs="Times New Roman"/>
          <w:color w:val="333333"/>
          <w:sz w:val="32"/>
          <w:szCs w:val="32"/>
        </w:rPr>
        <w:t>日为基准日，与我县土地市场实际价值存在一定差距，无法体现规划引领的发展要求，难以适应土地市场的发展态势，不能满足地价管理和调控的现实需要。为了更好的贯彻规划引领、引导资源的优化配置、支持和促进我</w:t>
      </w:r>
      <w:r>
        <w:rPr>
          <w:rFonts w:ascii="Times New Roman" w:eastAsia="方正仿宋_GBK" w:hAnsi="Times New Roman" w:cs="Times New Roman" w:hint="eastAsia"/>
          <w:color w:val="333333"/>
          <w:sz w:val="32"/>
          <w:szCs w:val="32"/>
        </w:rPr>
        <w:t>县</w:t>
      </w:r>
      <w:r>
        <w:rPr>
          <w:rFonts w:ascii="Times New Roman" w:eastAsia="方正仿宋_GBK" w:hAnsi="Times New Roman" w:cs="Times New Roman"/>
          <w:color w:val="333333"/>
          <w:sz w:val="32"/>
          <w:szCs w:val="32"/>
        </w:rPr>
        <w:t>经济的发展，同时按照自然资源部</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关</w:t>
      </w:r>
      <w:r>
        <w:rPr>
          <w:rFonts w:ascii="Times New Roman" w:eastAsia="方正仿宋_GBK" w:hAnsi="Times New Roman" w:cs="Times New Roman"/>
          <w:color w:val="333333"/>
          <w:sz w:val="32"/>
          <w:szCs w:val="32"/>
        </w:rPr>
        <w:t>于加快制订公共服务项目用地基准地价</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的要求，确有必要进行全面更新。</w:t>
      </w:r>
    </w:p>
    <w:p w:rsidR="008461A2" w:rsidRDefault="00DC3AC1">
      <w:pPr>
        <w:pStyle w:val="a5"/>
        <w:shd w:val="clear" w:color="auto" w:fill="FFFFFF"/>
        <w:spacing w:before="0" w:beforeAutospacing="0" w:after="0" w:afterAutospacing="0" w:line="560" w:lineRule="exact"/>
        <w:ind w:firstLineChars="200" w:firstLine="632"/>
        <w:jc w:val="both"/>
        <w:rPr>
          <w:rFonts w:ascii="Times New Roman" w:eastAsia="方正仿宋_GBK" w:hAnsi="Times New Roman" w:cs="Times New Roman"/>
          <w:color w:val="333333"/>
          <w:sz w:val="32"/>
          <w:szCs w:val="32"/>
        </w:rPr>
      </w:pPr>
      <w:r>
        <w:rPr>
          <w:rFonts w:ascii="Times New Roman" w:eastAsia="方正楷体_GBK" w:hAnsi="Times New Roman" w:cs="Times New Roman"/>
          <w:color w:val="333333"/>
          <w:sz w:val="32"/>
          <w:szCs w:val="32"/>
        </w:rPr>
        <w:t>（三）总体思路。</w:t>
      </w:r>
      <w:r>
        <w:rPr>
          <w:rFonts w:ascii="Times New Roman" w:eastAsia="方正仿宋_GBK" w:hAnsi="Times New Roman" w:cs="Times New Roman"/>
          <w:color w:val="333333"/>
          <w:sz w:val="32"/>
          <w:szCs w:val="32"/>
        </w:rPr>
        <w:t>以国土空间规划为引领，在土地级别和基准地价更新中充分考虑规划因素对土地质量提升和价值显化的导向作用。一是以规划为基础结合管理需要，确定定级范围和价格内涵。以现行城规范围为基础，考虑最新空间规划的开发边界综合确定定级范围。明确地价内涵，确定商服、住宅、工矿仓储、公共管理与公共服务四类用途。二是建立定级因素体系，科学划分土地级别。以规划定位为基础，结合交通设施、配套设施、环境条件资源、产业特色情况，综合判定土地级别。三是测算各用</w:t>
      </w:r>
      <w:r>
        <w:rPr>
          <w:rFonts w:ascii="Times New Roman" w:eastAsia="方正仿宋_GBK" w:hAnsi="Times New Roman" w:cs="Times New Roman"/>
          <w:color w:val="333333"/>
          <w:sz w:val="32"/>
          <w:szCs w:val="32"/>
        </w:rPr>
        <w:t>途收益，确定基准地价。以市场交易、经营收益、成本费用等客观数据的调查统计，评估测算出各用途的平均价格，再结合我县实际情况确定基准地价。</w:t>
      </w:r>
    </w:p>
    <w:p w:rsidR="008461A2" w:rsidRDefault="00DC3AC1" w:rsidP="008461A2">
      <w:pPr>
        <w:pStyle w:val="a5"/>
        <w:shd w:val="clear" w:color="auto" w:fill="FFFFFF"/>
        <w:spacing w:before="0" w:beforeAutospacing="0" w:after="0" w:afterAutospacing="0" w:line="560" w:lineRule="exact"/>
        <w:ind w:firstLineChars="200" w:firstLine="634"/>
        <w:jc w:val="both"/>
        <w:rPr>
          <w:rStyle w:val="a6"/>
          <w:rFonts w:ascii="Times New Roman" w:eastAsia="方正黑体_GBK" w:hAnsi="Times New Roman" w:cs="Times New Roman"/>
          <w:color w:val="333333"/>
          <w:sz w:val="32"/>
          <w:szCs w:val="32"/>
        </w:rPr>
      </w:pPr>
      <w:r>
        <w:rPr>
          <w:rStyle w:val="a6"/>
          <w:rFonts w:ascii="Times New Roman" w:eastAsia="方正黑体_GBK" w:hAnsi="Times New Roman" w:cs="Times New Roman"/>
          <w:color w:val="333333"/>
          <w:sz w:val="32"/>
          <w:szCs w:val="32"/>
        </w:rPr>
        <w:t>二、调整更新的主要内容</w:t>
      </w:r>
    </w:p>
    <w:p w:rsidR="008461A2" w:rsidRDefault="00DC3AC1">
      <w:pPr>
        <w:pStyle w:val="a5"/>
        <w:shd w:val="clear" w:color="auto" w:fill="FFFFFF"/>
        <w:spacing w:before="0" w:beforeAutospacing="0" w:after="0" w:afterAutospacing="0" w:line="560" w:lineRule="exact"/>
        <w:ind w:firstLineChars="200" w:firstLine="632"/>
        <w:jc w:val="both"/>
        <w:rPr>
          <w:rFonts w:ascii="Times New Roman" w:eastAsia="方正仿宋_GBK" w:hAnsi="Times New Roman" w:cs="Times New Roman"/>
          <w:color w:val="333333"/>
          <w:sz w:val="32"/>
          <w:szCs w:val="32"/>
        </w:rPr>
      </w:pPr>
      <w:r>
        <w:rPr>
          <w:rFonts w:ascii="Times New Roman" w:eastAsia="方正仿宋_GBK" w:hAnsi="Times New Roman" w:cs="Times New Roman"/>
          <w:color w:val="333333"/>
          <w:sz w:val="32"/>
          <w:szCs w:val="32"/>
        </w:rPr>
        <w:t>较</w:t>
      </w:r>
      <w:r>
        <w:rPr>
          <w:rFonts w:ascii="Times New Roman" w:eastAsia="方正仿宋_GBK" w:hAnsi="Times New Roman" w:cs="Times New Roman"/>
          <w:color w:val="333333"/>
          <w:sz w:val="32"/>
          <w:szCs w:val="32"/>
        </w:rPr>
        <w:t>2016</w:t>
      </w:r>
      <w:r>
        <w:rPr>
          <w:rFonts w:ascii="Times New Roman" w:eastAsia="方正仿宋_GBK" w:hAnsi="Times New Roman" w:cs="Times New Roman"/>
          <w:color w:val="333333"/>
          <w:sz w:val="32"/>
          <w:szCs w:val="32"/>
        </w:rPr>
        <w:t>年发行的文件，有以下六点变化：一是本次城镇国有建设用地基准地价期日为</w:t>
      </w:r>
      <w:r>
        <w:rPr>
          <w:rFonts w:ascii="Times New Roman" w:eastAsia="方正仿宋_GBK" w:hAnsi="Times New Roman" w:cs="Times New Roman"/>
          <w:color w:val="333333"/>
          <w:sz w:val="32"/>
          <w:szCs w:val="32"/>
        </w:rPr>
        <w:t>2021</w:t>
      </w:r>
      <w:r>
        <w:rPr>
          <w:rFonts w:ascii="Times New Roman" w:eastAsia="方正仿宋_GBK" w:hAnsi="Times New Roman" w:cs="Times New Roman"/>
          <w:color w:val="333333"/>
          <w:sz w:val="32"/>
          <w:szCs w:val="32"/>
        </w:rPr>
        <w:t>年</w:t>
      </w:r>
      <w:r>
        <w:rPr>
          <w:rFonts w:ascii="Times New Roman" w:eastAsia="方正仿宋_GBK" w:hAnsi="Times New Roman" w:cs="Times New Roman"/>
          <w:color w:val="333333"/>
          <w:sz w:val="32"/>
          <w:szCs w:val="32"/>
        </w:rPr>
        <w:t>1</w:t>
      </w:r>
      <w:r>
        <w:rPr>
          <w:rFonts w:ascii="Times New Roman" w:eastAsia="方正仿宋_GBK" w:hAnsi="Times New Roman" w:cs="Times New Roman"/>
          <w:color w:val="333333"/>
          <w:sz w:val="32"/>
          <w:szCs w:val="32"/>
        </w:rPr>
        <w:t>月</w:t>
      </w:r>
      <w:r>
        <w:rPr>
          <w:rFonts w:ascii="Times New Roman" w:eastAsia="方正仿宋_GBK" w:hAnsi="Times New Roman" w:cs="Times New Roman"/>
          <w:color w:val="333333"/>
          <w:sz w:val="32"/>
          <w:szCs w:val="32"/>
        </w:rPr>
        <w:t>1</w:t>
      </w:r>
      <w:r>
        <w:rPr>
          <w:rFonts w:ascii="Times New Roman" w:eastAsia="方正仿宋_GBK" w:hAnsi="Times New Roman" w:cs="Times New Roman"/>
          <w:color w:val="333333"/>
          <w:sz w:val="32"/>
          <w:szCs w:val="32"/>
        </w:rPr>
        <w:t>日。二是本次土地用途</w:t>
      </w:r>
      <w:r>
        <w:rPr>
          <w:rFonts w:ascii="Times New Roman" w:eastAsia="方正仿宋_GBK" w:hAnsi="Times New Roman" w:cs="Times New Roman"/>
          <w:color w:val="333333"/>
          <w:sz w:val="32"/>
          <w:szCs w:val="32"/>
        </w:rPr>
        <w:lastRenderedPageBreak/>
        <w:t>由</w:t>
      </w:r>
      <w:r>
        <w:rPr>
          <w:rFonts w:ascii="Times New Roman" w:eastAsia="方正仿宋_GBK" w:hAnsi="Times New Roman" w:cs="Times New Roman"/>
          <w:color w:val="333333"/>
          <w:sz w:val="32"/>
          <w:szCs w:val="32"/>
        </w:rPr>
        <w:t>2016</w:t>
      </w:r>
      <w:r>
        <w:rPr>
          <w:rFonts w:ascii="Times New Roman" w:eastAsia="方正仿宋_GBK" w:hAnsi="Times New Roman" w:cs="Times New Roman"/>
          <w:color w:val="333333"/>
          <w:sz w:val="32"/>
          <w:szCs w:val="32"/>
        </w:rPr>
        <w:t>年的商业、办公、住宅、工业调整为商服、公服（公共管理与公共服务）、住宅、工矿仓储。三是土地级别由</w:t>
      </w:r>
      <w:r>
        <w:rPr>
          <w:rFonts w:ascii="Times New Roman" w:eastAsia="方正仿宋_GBK" w:hAnsi="Times New Roman" w:cs="Times New Roman"/>
          <w:color w:val="333333"/>
          <w:sz w:val="32"/>
          <w:szCs w:val="32"/>
        </w:rPr>
        <w:t>2016</w:t>
      </w:r>
      <w:r>
        <w:rPr>
          <w:rFonts w:ascii="Times New Roman" w:eastAsia="方正仿宋_GBK" w:hAnsi="Times New Roman" w:cs="Times New Roman"/>
          <w:color w:val="333333"/>
          <w:sz w:val="32"/>
          <w:szCs w:val="32"/>
        </w:rPr>
        <w:t>年的级别数目均为</w:t>
      </w:r>
      <w:r>
        <w:rPr>
          <w:rFonts w:ascii="Times New Roman" w:eastAsia="方正仿宋_GBK" w:hAnsi="Times New Roman" w:cs="Times New Roman"/>
          <w:color w:val="333333"/>
          <w:sz w:val="32"/>
          <w:szCs w:val="32"/>
        </w:rPr>
        <w:t>6</w:t>
      </w:r>
      <w:r>
        <w:rPr>
          <w:rFonts w:ascii="Times New Roman" w:eastAsia="方正仿宋_GBK" w:hAnsi="Times New Roman" w:cs="Times New Roman"/>
          <w:color w:val="333333"/>
          <w:sz w:val="32"/>
          <w:szCs w:val="32"/>
        </w:rPr>
        <w:t>个，调整为商服</w:t>
      </w:r>
      <w:r>
        <w:rPr>
          <w:rFonts w:ascii="Times New Roman" w:eastAsia="方正仿宋_GBK" w:hAnsi="Times New Roman" w:cs="Times New Roman"/>
          <w:color w:val="333333"/>
          <w:sz w:val="32"/>
          <w:szCs w:val="32"/>
        </w:rPr>
        <w:t>6</w:t>
      </w:r>
      <w:r>
        <w:rPr>
          <w:rFonts w:ascii="Times New Roman" w:eastAsia="方正仿宋_GBK" w:hAnsi="Times New Roman" w:cs="Times New Roman"/>
          <w:color w:val="333333"/>
          <w:sz w:val="32"/>
          <w:szCs w:val="32"/>
        </w:rPr>
        <w:t>个级别，公服、住宅均为</w:t>
      </w:r>
      <w:r>
        <w:rPr>
          <w:rFonts w:ascii="Times New Roman" w:eastAsia="方正仿宋_GBK" w:hAnsi="Times New Roman" w:cs="Times New Roman"/>
          <w:color w:val="333333"/>
          <w:sz w:val="32"/>
          <w:szCs w:val="32"/>
        </w:rPr>
        <w:t>5</w:t>
      </w:r>
      <w:r>
        <w:rPr>
          <w:rFonts w:ascii="Times New Roman" w:eastAsia="方正仿宋_GBK" w:hAnsi="Times New Roman" w:cs="Times New Roman"/>
          <w:color w:val="333333"/>
          <w:sz w:val="32"/>
          <w:szCs w:val="32"/>
        </w:rPr>
        <w:t>个级别，工矿仓储为</w:t>
      </w:r>
      <w:r>
        <w:rPr>
          <w:rFonts w:ascii="Times New Roman" w:eastAsia="方正仿宋_GBK" w:hAnsi="Times New Roman" w:cs="Times New Roman"/>
          <w:color w:val="333333"/>
          <w:sz w:val="32"/>
          <w:szCs w:val="32"/>
        </w:rPr>
        <w:t>3</w:t>
      </w:r>
      <w:r>
        <w:rPr>
          <w:rFonts w:ascii="Times New Roman" w:eastAsia="方正仿宋_GBK" w:hAnsi="Times New Roman" w:cs="Times New Roman"/>
          <w:color w:val="333333"/>
          <w:sz w:val="32"/>
          <w:szCs w:val="32"/>
        </w:rPr>
        <w:t>个级别。四是按照城市品质提升要求，容积率较</w:t>
      </w:r>
      <w:r>
        <w:rPr>
          <w:rFonts w:ascii="Times New Roman" w:eastAsia="方正仿宋_GBK" w:hAnsi="Times New Roman" w:cs="Times New Roman"/>
          <w:color w:val="333333"/>
          <w:sz w:val="32"/>
          <w:szCs w:val="32"/>
        </w:rPr>
        <w:t>2016</w:t>
      </w:r>
      <w:r>
        <w:rPr>
          <w:rFonts w:ascii="Times New Roman" w:eastAsia="方正仿宋_GBK" w:hAnsi="Times New Roman" w:cs="Times New Roman"/>
          <w:color w:val="333333"/>
          <w:sz w:val="32"/>
          <w:szCs w:val="32"/>
        </w:rPr>
        <w:t>年相比，商服用地由</w:t>
      </w:r>
      <w:r>
        <w:rPr>
          <w:rFonts w:ascii="Times New Roman" w:eastAsia="方正仿宋_GBK" w:hAnsi="Times New Roman" w:cs="Times New Roman"/>
          <w:color w:val="333333"/>
          <w:sz w:val="32"/>
          <w:szCs w:val="32"/>
        </w:rPr>
        <w:t>3.0</w:t>
      </w:r>
      <w:r>
        <w:rPr>
          <w:rFonts w:ascii="Times New Roman" w:eastAsia="方正仿宋_GBK" w:hAnsi="Times New Roman" w:cs="Times New Roman"/>
          <w:color w:val="333333"/>
          <w:sz w:val="32"/>
          <w:szCs w:val="32"/>
        </w:rPr>
        <w:t>调整为</w:t>
      </w:r>
      <w:r>
        <w:rPr>
          <w:rFonts w:ascii="Times New Roman" w:eastAsia="方正仿宋_GBK" w:hAnsi="Times New Roman" w:cs="Times New Roman"/>
          <w:color w:val="333333"/>
          <w:sz w:val="32"/>
          <w:szCs w:val="32"/>
        </w:rPr>
        <w:t>2.5</w:t>
      </w:r>
      <w:r>
        <w:rPr>
          <w:rFonts w:ascii="Times New Roman" w:eastAsia="方正仿宋_GBK" w:hAnsi="Times New Roman" w:cs="Times New Roman"/>
          <w:color w:val="333333"/>
          <w:sz w:val="32"/>
          <w:szCs w:val="32"/>
        </w:rPr>
        <w:t>，住宅用地由</w:t>
      </w:r>
      <w:r>
        <w:rPr>
          <w:rFonts w:ascii="Times New Roman" w:eastAsia="方正仿宋_GBK" w:hAnsi="Times New Roman" w:cs="Times New Roman"/>
          <w:color w:val="333333"/>
          <w:sz w:val="32"/>
          <w:szCs w:val="32"/>
        </w:rPr>
        <w:t>2.5</w:t>
      </w:r>
      <w:r>
        <w:rPr>
          <w:rFonts w:ascii="Times New Roman" w:eastAsia="方正仿宋_GBK" w:hAnsi="Times New Roman" w:cs="Times New Roman"/>
          <w:color w:val="333333"/>
          <w:sz w:val="32"/>
          <w:szCs w:val="32"/>
        </w:rPr>
        <w:t>调整为</w:t>
      </w:r>
      <w:r>
        <w:rPr>
          <w:rFonts w:ascii="Times New Roman" w:eastAsia="方正仿宋_GBK" w:hAnsi="Times New Roman" w:cs="Times New Roman"/>
          <w:color w:val="333333"/>
          <w:sz w:val="32"/>
          <w:szCs w:val="32"/>
        </w:rPr>
        <w:t>2.0</w:t>
      </w:r>
      <w:r>
        <w:rPr>
          <w:rFonts w:ascii="Times New Roman" w:eastAsia="方正仿宋_GBK" w:hAnsi="Times New Roman" w:cs="Times New Roman"/>
          <w:color w:val="333333"/>
          <w:sz w:val="32"/>
          <w:szCs w:val="32"/>
        </w:rPr>
        <w:t>，工矿仓储用地仍为</w:t>
      </w:r>
      <w:r>
        <w:rPr>
          <w:rFonts w:ascii="Times New Roman" w:eastAsia="方正仿宋_GBK" w:hAnsi="Times New Roman" w:cs="Times New Roman"/>
          <w:color w:val="333333"/>
          <w:sz w:val="32"/>
          <w:szCs w:val="32"/>
        </w:rPr>
        <w:t>1.0</w:t>
      </w:r>
      <w:r>
        <w:rPr>
          <w:rFonts w:ascii="Times New Roman" w:eastAsia="方正仿宋_GBK" w:hAnsi="Times New Roman" w:cs="Times New Roman"/>
          <w:color w:val="333333"/>
          <w:sz w:val="32"/>
          <w:szCs w:val="32"/>
        </w:rPr>
        <w:t>，公服用地首次设定为</w:t>
      </w:r>
      <w:r>
        <w:rPr>
          <w:rFonts w:ascii="Times New Roman" w:eastAsia="方正仿宋_GBK" w:hAnsi="Times New Roman" w:cs="Times New Roman"/>
          <w:color w:val="333333"/>
          <w:sz w:val="32"/>
          <w:szCs w:val="32"/>
        </w:rPr>
        <w:t>1.5</w:t>
      </w:r>
      <w:r>
        <w:rPr>
          <w:rFonts w:ascii="Times New Roman" w:eastAsia="方正仿宋_GBK" w:hAnsi="Times New Roman" w:cs="Times New Roman"/>
          <w:color w:val="333333"/>
          <w:sz w:val="32"/>
          <w:szCs w:val="32"/>
        </w:rPr>
        <w:t>。土地使用年限按法定最高使用年限设定（商</w:t>
      </w:r>
      <w:r>
        <w:rPr>
          <w:rFonts w:ascii="Times New Roman" w:eastAsia="方正仿宋_GBK" w:hAnsi="Times New Roman" w:cs="Times New Roman"/>
          <w:color w:val="333333"/>
          <w:sz w:val="32"/>
          <w:szCs w:val="32"/>
        </w:rPr>
        <w:t>服</w:t>
      </w:r>
      <w:r>
        <w:rPr>
          <w:rFonts w:ascii="Times New Roman" w:eastAsia="方正仿宋_GBK" w:hAnsi="Times New Roman" w:cs="Times New Roman"/>
          <w:color w:val="333333"/>
          <w:sz w:val="32"/>
          <w:szCs w:val="32"/>
        </w:rPr>
        <w:t>40</w:t>
      </w:r>
      <w:r>
        <w:rPr>
          <w:rFonts w:ascii="Times New Roman" w:eastAsia="方正仿宋_GBK" w:hAnsi="Times New Roman" w:cs="Times New Roman"/>
          <w:color w:val="333333"/>
          <w:sz w:val="32"/>
          <w:szCs w:val="32"/>
        </w:rPr>
        <w:t>年、住宅</w:t>
      </w:r>
      <w:r>
        <w:rPr>
          <w:rFonts w:ascii="Times New Roman" w:eastAsia="方正仿宋_GBK" w:hAnsi="Times New Roman" w:cs="Times New Roman"/>
          <w:color w:val="333333"/>
          <w:sz w:val="32"/>
          <w:szCs w:val="32"/>
        </w:rPr>
        <w:t>70</w:t>
      </w:r>
      <w:r>
        <w:rPr>
          <w:rFonts w:ascii="Times New Roman" w:eastAsia="方正仿宋_GBK" w:hAnsi="Times New Roman" w:cs="Times New Roman"/>
          <w:color w:val="333333"/>
          <w:sz w:val="32"/>
          <w:szCs w:val="32"/>
        </w:rPr>
        <w:t>年、工矿仓储</w:t>
      </w:r>
      <w:r>
        <w:rPr>
          <w:rFonts w:ascii="Times New Roman" w:eastAsia="方正仿宋_GBK" w:hAnsi="Times New Roman" w:cs="Times New Roman"/>
          <w:color w:val="333333"/>
          <w:sz w:val="32"/>
          <w:szCs w:val="32"/>
        </w:rPr>
        <w:t>50</w:t>
      </w:r>
      <w:r>
        <w:rPr>
          <w:rFonts w:ascii="Times New Roman" w:eastAsia="方正仿宋_GBK" w:hAnsi="Times New Roman" w:cs="Times New Roman"/>
          <w:color w:val="333333"/>
          <w:sz w:val="32"/>
          <w:szCs w:val="32"/>
        </w:rPr>
        <w:t>年、公服</w:t>
      </w:r>
      <w:r>
        <w:rPr>
          <w:rFonts w:ascii="Times New Roman" w:eastAsia="方正仿宋_GBK" w:hAnsi="Times New Roman" w:cs="Times New Roman"/>
          <w:color w:val="333333"/>
          <w:sz w:val="32"/>
          <w:szCs w:val="32"/>
        </w:rPr>
        <w:t>50</w:t>
      </w:r>
      <w:r>
        <w:rPr>
          <w:rFonts w:ascii="Times New Roman" w:eastAsia="方正仿宋_GBK" w:hAnsi="Times New Roman" w:cs="Times New Roman"/>
          <w:color w:val="333333"/>
          <w:sz w:val="32"/>
          <w:szCs w:val="32"/>
        </w:rPr>
        <w:t>年）。五是土地级别在</w:t>
      </w:r>
      <w:r>
        <w:rPr>
          <w:rFonts w:ascii="Times New Roman" w:eastAsia="方正仿宋_GBK" w:hAnsi="Times New Roman" w:cs="Times New Roman"/>
          <w:color w:val="333333"/>
          <w:sz w:val="32"/>
          <w:szCs w:val="32"/>
        </w:rPr>
        <w:t>2016</w:t>
      </w:r>
      <w:r>
        <w:rPr>
          <w:rFonts w:ascii="Times New Roman" w:eastAsia="方正仿宋_GBK" w:hAnsi="Times New Roman" w:cs="Times New Roman"/>
          <w:color w:val="333333"/>
          <w:sz w:val="32"/>
          <w:szCs w:val="32"/>
        </w:rPr>
        <w:t>年基础上，主要把老城核心沿江区域、乌江东路宏富商场片区、乌江西路、河堡街、彭水中学片区、凯邦两江城片区、张家坝组团、摩围山组团、九黎城等范围适当予以提升，其他区域基本保持稳定。六是基准地价商服在</w:t>
      </w:r>
      <w:r>
        <w:rPr>
          <w:rFonts w:ascii="Times New Roman" w:eastAsia="方正仿宋_GBK" w:hAnsi="Times New Roman" w:cs="Times New Roman"/>
          <w:color w:val="333333"/>
          <w:sz w:val="32"/>
          <w:szCs w:val="32"/>
        </w:rPr>
        <w:t>180</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1340</w:t>
      </w:r>
      <w:r>
        <w:rPr>
          <w:rFonts w:ascii="Times New Roman" w:eastAsia="方正仿宋_GBK" w:hAnsi="Times New Roman" w:cs="Times New Roman"/>
          <w:color w:val="333333"/>
          <w:sz w:val="32"/>
          <w:szCs w:val="32"/>
        </w:rPr>
        <w:t>元／平方米之间，住宅在</w:t>
      </w:r>
      <w:r>
        <w:rPr>
          <w:rFonts w:ascii="Times New Roman" w:eastAsia="方正仿宋_GBK" w:hAnsi="Times New Roman" w:cs="Times New Roman"/>
          <w:color w:val="333333"/>
          <w:sz w:val="32"/>
          <w:szCs w:val="32"/>
        </w:rPr>
        <w:t>190</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1160</w:t>
      </w:r>
      <w:r>
        <w:rPr>
          <w:rFonts w:ascii="Times New Roman" w:eastAsia="方正仿宋_GBK" w:hAnsi="Times New Roman" w:cs="Times New Roman"/>
          <w:color w:val="333333"/>
          <w:sz w:val="32"/>
          <w:szCs w:val="32"/>
        </w:rPr>
        <w:t>元／平方米之间，公服在</w:t>
      </w:r>
      <w:r>
        <w:rPr>
          <w:rFonts w:ascii="Times New Roman" w:eastAsia="方正仿宋_GBK" w:hAnsi="Times New Roman" w:cs="Times New Roman"/>
          <w:color w:val="333333"/>
          <w:sz w:val="32"/>
          <w:szCs w:val="32"/>
        </w:rPr>
        <w:t>190</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920</w:t>
      </w:r>
      <w:r>
        <w:rPr>
          <w:rFonts w:ascii="Times New Roman" w:eastAsia="方正仿宋_GBK" w:hAnsi="Times New Roman" w:cs="Times New Roman"/>
          <w:color w:val="333333"/>
          <w:sz w:val="32"/>
          <w:szCs w:val="32"/>
        </w:rPr>
        <w:t>元／平方米之间，工矿仓储在</w:t>
      </w:r>
      <w:r>
        <w:rPr>
          <w:rFonts w:ascii="Times New Roman" w:eastAsia="方正仿宋_GBK" w:hAnsi="Times New Roman" w:cs="Times New Roman"/>
          <w:color w:val="333333"/>
          <w:sz w:val="32"/>
          <w:szCs w:val="32"/>
        </w:rPr>
        <w:t>110</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270</w:t>
      </w:r>
      <w:r>
        <w:rPr>
          <w:rFonts w:ascii="Times New Roman" w:eastAsia="方正仿宋_GBK" w:hAnsi="Times New Roman" w:cs="Times New Roman"/>
          <w:color w:val="333333"/>
          <w:sz w:val="32"/>
          <w:szCs w:val="32"/>
        </w:rPr>
        <w:t>元／平方米之间。</w:t>
      </w:r>
    </w:p>
    <w:p w:rsidR="008461A2" w:rsidRDefault="00DC3AC1">
      <w:pPr>
        <w:pStyle w:val="a5"/>
        <w:shd w:val="clear" w:color="auto" w:fill="FFFFFF"/>
        <w:spacing w:before="0" w:beforeAutospacing="0" w:after="0" w:afterAutospacing="0" w:line="560" w:lineRule="exact"/>
        <w:jc w:val="center"/>
        <w:rPr>
          <w:rFonts w:ascii="Times New Roman" w:eastAsia="方正仿宋_GBK" w:hAnsi="Times New Roman" w:cs="Times New Roman"/>
          <w:color w:val="333333"/>
          <w:sz w:val="32"/>
          <w:szCs w:val="32"/>
        </w:rPr>
      </w:pPr>
      <w:r>
        <w:rPr>
          <w:rFonts w:ascii="Times New Roman" w:eastAsia="方正仿宋_GBK" w:hAnsi="Times New Roman" w:cs="Times New Roman"/>
          <w:color w:val="333333"/>
          <w:sz w:val="32"/>
          <w:szCs w:val="32"/>
        </w:rPr>
        <w:t>彭水县</w:t>
      </w:r>
      <w:r>
        <w:rPr>
          <w:rFonts w:ascii="Times New Roman" w:eastAsia="方正仿宋_GBK" w:hAnsi="Times New Roman" w:cs="Times New Roman"/>
          <w:color w:val="333333"/>
          <w:sz w:val="32"/>
          <w:szCs w:val="32"/>
        </w:rPr>
        <w:t>2021</w:t>
      </w:r>
      <w:r>
        <w:rPr>
          <w:rFonts w:ascii="Times New Roman" w:eastAsia="方正仿宋_GBK" w:hAnsi="Times New Roman" w:cs="Times New Roman"/>
          <w:color w:val="333333"/>
          <w:sz w:val="32"/>
          <w:szCs w:val="32"/>
        </w:rPr>
        <w:t>年与</w:t>
      </w:r>
      <w:r>
        <w:rPr>
          <w:rFonts w:ascii="Times New Roman" w:eastAsia="方正仿宋_GBK" w:hAnsi="Times New Roman" w:cs="Times New Roman"/>
          <w:color w:val="333333"/>
          <w:sz w:val="32"/>
          <w:szCs w:val="32"/>
        </w:rPr>
        <w:t>2016</w:t>
      </w:r>
      <w:r>
        <w:rPr>
          <w:rFonts w:ascii="Times New Roman" w:eastAsia="方正仿宋_GBK" w:hAnsi="Times New Roman" w:cs="Times New Roman"/>
          <w:color w:val="333333"/>
          <w:sz w:val="32"/>
          <w:szCs w:val="32"/>
        </w:rPr>
        <w:t>年</w:t>
      </w:r>
      <w:r>
        <w:rPr>
          <w:rFonts w:ascii="Times New Roman" w:eastAsia="方正仿宋_GBK" w:hAnsi="Times New Roman" w:cs="Times New Roman"/>
          <w:color w:val="333333"/>
          <w:sz w:val="32"/>
          <w:szCs w:val="32"/>
        </w:rPr>
        <w:t>基准地价对应楼面地价对比表</w:t>
      </w:r>
    </w:p>
    <w:p w:rsidR="008461A2" w:rsidRDefault="00DC3AC1">
      <w:pPr>
        <w:pStyle w:val="a5"/>
        <w:shd w:val="clear" w:color="auto" w:fill="FFFFFF"/>
        <w:spacing w:before="0" w:beforeAutospacing="0" w:after="0" w:afterAutospacing="0" w:line="560" w:lineRule="exact"/>
        <w:jc w:val="right"/>
        <w:rPr>
          <w:rFonts w:ascii="Times New Roman" w:eastAsia="方正仿宋_GBK" w:hAnsi="Times New Roman" w:cs="Times New Roman"/>
          <w:color w:val="333333"/>
          <w:sz w:val="32"/>
          <w:szCs w:val="32"/>
        </w:rPr>
      </w:pPr>
      <w:r>
        <w:rPr>
          <w:rFonts w:ascii="Times New Roman" w:eastAsia="方正仿宋_GBK" w:hAnsi="Times New Roman" w:cs="Times New Roman"/>
          <w:color w:val="333333"/>
          <w:sz w:val="32"/>
          <w:szCs w:val="32"/>
        </w:rPr>
        <w:t>单位：元</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平方米</w:t>
      </w:r>
    </w:p>
    <w:p w:rsidR="008461A2" w:rsidRDefault="008461A2">
      <w:pPr>
        <w:pStyle w:val="a5"/>
        <w:shd w:val="clear" w:color="auto" w:fill="FFFFFF"/>
        <w:spacing w:before="0" w:beforeAutospacing="0" w:after="0" w:afterAutospacing="0" w:line="560" w:lineRule="exact"/>
        <w:jc w:val="right"/>
        <w:rPr>
          <w:rFonts w:ascii="Times New Roman" w:eastAsia="方正仿宋_GBK" w:hAnsi="Times New Roman" w:cs="Times New Roman"/>
          <w:color w:val="333333"/>
          <w:sz w:val="32"/>
          <w:szCs w:val="32"/>
        </w:rPr>
      </w:pPr>
    </w:p>
    <w:tbl>
      <w:tblPr>
        <w:tblpPr w:leftFromText="180" w:rightFromText="180" w:vertAnchor="text" w:horzAnchor="page" w:tblpXSpec="center" w:tblpY="-329"/>
        <w:tblOverlap w:val="never"/>
        <w:tblW w:w="9060" w:type="dxa"/>
        <w:jc w:val="center"/>
        <w:tblLayout w:type="fixed"/>
        <w:tblLook w:val="04A0"/>
      </w:tblPr>
      <w:tblGrid>
        <w:gridCol w:w="1183"/>
        <w:gridCol w:w="1056"/>
        <w:gridCol w:w="912"/>
        <w:gridCol w:w="984"/>
        <w:gridCol w:w="984"/>
        <w:gridCol w:w="984"/>
        <w:gridCol w:w="984"/>
        <w:gridCol w:w="984"/>
        <w:gridCol w:w="989"/>
      </w:tblGrid>
      <w:tr w:rsidR="008461A2" w:rsidTr="00DC3AC1">
        <w:trPr>
          <w:trHeight w:val="340"/>
          <w:jc w:val="center"/>
        </w:trPr>
        <w:tc>
          <w:tcPr>
            <w:tcW w:w="1183" w:type="dxa"/>
            <w:vMerge w:val="restart"/>
            <w:tcBorders>
              <w:top w:val="single" w:sz="4" w:space="0" w:color="auto"/>
              <w:left w:val="single" w:sz="4" w:space="0" w:color="auto"/>
              <w:bottom w:val="single" w:sz="4" w:space="0" w:color="auto"/>
              <w:right w:val="single" w:sz="4" w:space="0" w:color="auto"/>
            </w:tcBorders>
            <w:vAlign w:val="center"/>
          </w:tcPr>
          <w:p w:rsidR="008461A2" w:rsidRDefault="00DC3AC1">
            <w:pPr>
              <w:widowControl/>
              <w:spacing w:line="220" w:lineRule="exact"/>
              <w:jc w:val="center"/>
              <w:rPr>
                <w:rFonts w:ascii="Times New Roman" w:eastAsia="方正黑体_GBK" w:hAnsi="Times New Roman" w:cs="Times New Roman"/>
                <w:color w:val="000000"/>
                <w:kern w:val="0"/>
                <w:sz w:val="21"/>
                <w:szCs w:val="21"/>
              </w:rPr>
            </w:pPr>
            <w:r>
              <w:rPr>
                <w:rFonts w:ascii="Times New Roman" w:eastAsia="方正黑体_GBK" w:hAnsi="Times New Roman" w:cs="Times New Roman"/>
                <w:color w:val="000000"/>
                <w:kern w:val="0"/>
                <w:sz w:val="21"/>
                <w:szCs w:val="21"/>
              </w:rPr>
              <w:t>土地用途</w:t>
            </w:r>
          </w:p>
        </w:tc>
        <w:tc>
          <w:tcPr>
            <w:tcW w:w="1056" w:type="dxa"/>
            <w:vMerge w:val="restart"/>
            <w:tcBorders>
              <w:top w:val="single" w:sz="4" w:space="0" w:color="auto"/>
              <w:left w:val="nil"/>
              <w:right w:val="single" w:sz="4" w:space="0" w:color="auto"/>
            </w:tcBorders>
            <w:vAlign w:val="center"/>
          </w:tcPr>
          <w:p w:rsidR="008461A2" w:rsidRDefault="00DC3AC1">
            <w:pPr>
              <w:widowControl/>
              <w:spacing w:line="220" w:lineRule="exact"/>
              <w:jc w:val="center"/>
              <w:rPr>
                <w:rFonts w:ascii="Times New Roman" w:eastAsia="方正黑体_GBK" w:hAnsi="Times New Roman" w:cs="Times New Roman"/>
                <w:color w:val="000000"/>
                <w:kern w:val="0"/>
                <w:sz w:val="21"/>
                <w:szCs w:val="21"/>
              </w:rPr>
            </w:pPr>
            <w:r>
              <w:rPr>
                <w:rFonts w:ascii="Times New Roman" w:eastAsia="方正黑体_GBK" w:hAnsi="Times New Roman" w:cs="Times New Roman"/>
                <w:color w:val="000000"/>
                <w:kern w:val="0"/>
                <w:sz w:val="21"/>
                <w:szCs w:val="21"/>
              </w:rPr>
              <w:t>基准年份</w:t>
            </w:r>
          </w:p>
        </w:tc>
        <w:tc>
          <w:tcPr>
            <w:tcW w:w="912" w:type="dxa"/>
            <w:vMerge w:val="restart"/>
            <w:tcBorders>
              <w:top w:val="single" w:sz="4" w:space="0" w:color="auto"/>
              <w:left w:val="nil"/>
              <w:right w:val="single" w:sz="4" w:space="0" w:color="auto"/>
            </w:tcBorders>
            <w:vAlign w:val="center"/>
          </w:tcPr>
          <w:p w:rsidR="008461A2" w:rsidRDefault="00DC3AC1">
            <w:pPr>
              <w:widowControl/>
              <w:spacing w:line="220" w:lineRule="exact"/>
              <w:jc w:val="center"/>
              <w:rPr>
                <w:rFonts w:ascii="Times New Roman" w:eastAsia="方正黑体_GBK" w:hAnsi="Times New Roman" w:cs="Times New Roman"/>
                <w:color w:val="000000"/>
                <w:kern w:val="0"/>
                <w:sz w:val="21"/>
                <w:szCs w:val="21"/>
              </w:rPr>
            </w:pPr>
            <w:r>
              <w:rPr>
                <w:rFonts w:ascii="Times New Roman" w:eastAsia="方正黑体_GBK" w:hAnsi="Times New Roman" w:cs="Times New Roman"/>
                <w:color w:val="000000"/>
                <w:kern w:val="0"/>
                <w:sz w:val="21"/>
                <w:szCs w:val="21"/>
              </w:rPr>
              <w:t>容积率</w:t>
            </w:r>
          </w:p>
        </w:tc>
        <w:tc>
          <w:tcPr>
            <w:tcW w:w="5909" w:type="dxa"/>
            <w:gridSpan w:val="6"/>
            <w:tcBorders>
              <w:top w:val="single" w:sz="4" w:space="0" w:color="auto"/>
              <w:left w:val="nil"/>
              <w:bottom w:val="single" w:sz="4" w:space="0" w:color="auto"/>
              <w:right w:val="single" w:sz="4" w:space="0" w:color="auto"/>
            </w:tcBorders>
            <w:vAlign w:val="center"/>
          </w:tcPr>
          <w:p w:rsidR="008461A2" w:rsidRDefault="00DC3AC1">
            <w:pPr>
              <w:widowControl/>
              <w:spacing w:line="220" w:lineRule="exact"/>
              <w:jc w:val="center"/>
              <w:rPr>
                <w:rFonts w:ascii="Times New Roman" w:eastAsia="方正黑体_GBK" w:hAnsi="Times New Roman" w:cs="Times New Roman"/>
                <w:color w:val="000000"/>
                <w:kern w:val="0"/>
                <w:sz w:val="21"/>
                <w:szCs w:val="21"/>
              </w:rPr>
            </w:pPr>
            <w:r>
              <w:rPr>
                <w:rFonts w:ascii="Times New Roman" w:eastAsia="方正黑体_GBK" w:hAnsi="Times New Roman" w:cs="Times New Roman"/>
                <w:color w:val="000000"/>
                <w:kern w:val="0"/>
                <w:sz w:val="21"/>
                <w:szCs w:val="21"/>
              </w:rPr>
              <w:t>土地级别</w:t>
            </w:r>
          </w:p>
        </w:tc>
      </w:tr>
      <w:tr w:rsidR="008461A2" w:rsidTr="00DC3AC1">
        <w:trPr>
          <w:trHeight w:val="340"/>
          <w:jc w:val="center"/>
        </w:trPr>
        <w:tc>
          <w:tcPr>
            <w:tcW w:w="1183" w:type="dxa"/>
            <w:vMerge/>
            <w:tcBorders>
              <w:top w:val="single" w:sz="4" w:space="0" w:color="auto"/>
              <w:left w:val="single" w:sz="4" w:space="0" w:color="auto"/>
              <w:bottom w:val="single" w:sz="4" w:space="0" w:color="auto"/>
              <w:right w:val="single" w:sz="4" w:space="0" w:color="auto"/>
            </w:tcBorders>
            <w:vAlign w:val="center"/>
          </w:tcPr>
          <w:p w:rsidR="008461A2" w:rsidRDefault="008461A2">
            <w:pPr>
              <w:widowControl/>
              <w:spacing w:line="220" w:lineRule="exact"/>
              <w:jc w:val="center"/>
              <w:rPr>
                <w:rFonts w:ascii="Times New Roman" w:eastAsia="方正黑体_GBK" w:hAnsi="Times New Roman" w:cs="Times New Roman"/>
                <w:color w:val="000000"/>
                <w:kern w:val="0"/>
                <w:sz w:val="21"/>
                <w:szCs w:val="21"/>
              </w:rPr>
            </w:pPr>
          </w:p>
        </w:tc>
        <w:tc>
          <w:tcPr>
            <w:tcW w:w="1056" w:type="dxa"/>
            <w:vMerge/>
            <w:tcBorders>
              <w:left w:val="nil"/>
              <w:bottom w:val="single" w:sz="4" w:space="0" w:color="auto"/>
              <w:right w:val="single" w:sz="4" w:space="0" w:color="auto"/>
            </w:tcBorders>
            <w:vAlign w:val="center"/>
          </w:tcPr>
          <w:p w:rsidR="008461A2" w:rsidRDefault="008461A2">
            <w:pPr>
              <w:widowControl/>
              <w:spacing w:line="220" w:lineRule="exact"/>
              <w:jc w:val="center"/>
              <w:rPr>
                <w:rFonts w:ascii="Times New Roman" w:eastAsia="方正黑体_GBK" w:hAnsi="Times New Roman" w:cs="Times New Roman"/>
                <w:color w:val="000000"/>
                <w:kern w:val="0"/>
                <w:sz w:val="21"/>
                <w:szCs w:val="21"/>
              </w:rPr>
            </w:pPr>
          </w:p>
        </w:tc>
        <w:tc>
          <w:tcPr>
            <w:tcW w:w="912" w:type="dxa"/>
            <w:vMerge/>
            <w:tcBorders>
              <w:left w:val="nil"/>
              <w:bottom w:val="single" w:sz="4" w:space="0" w:color="auto"/>
              <w:right w:val="single" w:sz="4" w:space="0" w:color="auto"/>
            </w:tcBorders>
            <w:vAlign w:val="center"/>
          </w:tcPr>
          <w:p w:rsidR="008461A2" w:rsidRDefault="008461A2">
            <w:pPr>
              <w:widowControl/>
              <w:spacing w:line="220" w:lineRule="exact"/>
              <w:jc w:val="center"/>
              <w:rPr>
                <w:rFonts w:ascii="Times New Roman" w:eastAsia="方正黑体_GBK" w:hAnsi="Times New Roman" w:cs="Times New Roman"/>
                <w:color w:val="000000"/>
                <w:kern w:val="0"/>
                <w:sz w:val="21"/>
                <w:szCs w:val="21"/>
              </w:rPr>
            </w:pPr>
          </w:p>
        </w:tc>
        <w:tc>
          <w:tcPr>
            <w:tcW w:w="984" w:type="dxa"/>
            <w:tcBorders>
              <w:top w:val="nil"/>
              <w:left w:val="nil"/>
              <w:bottom w:val="single" w:sz="4" w:space="0" w:color="auto"/>
              <w:right w:val="single" w:sz="4" w:space="0" w:color="auto"/>
            </w:tcBorders>
            <w:vAlign w:val="center"/>
          </w:tcPr>
          <w:p w:rsidR="008461A2" w:rsidRDefault="00DC3AC1">
            <w:pPr>
              <w:widowControl/>
              <w:spacing w:line="220" w:lineRule="exact"/>
              <w:jc w:val="center"/>
              <w:rPr>
                <w:rFonts w:ascii="Times New Roman" w:eastAsia="方正黑体_GBK" w:hAnsi="Times New Roman" w:cs="Times New Roman"/>
                <w:color w:val="000000"/>
                <w:kern w:val="0"/>
                <w:sz w:val="21"/>
                <w:szCs w:val="21"/>
              </w:rPr>
            </w:pPr>
            <w:r>
              <w:rPr>
                <w:rFonts w:ascii="Times New Roman" w:eastAsia="方正黑体_GBK" w:hAnsi="Times New Roman" w:cs="Times New Roman"/>
                <w:color w:val="000000"/>
                <w:kern w:val="0"/>
                <w:sz w:val="21"/>
                <w:szCs w:val="21"/>
              </w:rPr>
              <w:t>1</w:t>
            </w:r>
            <w:r>
              <w:rPr>
                <w:rFonts w:ascii="Times New Roman" w:eastAsia="方正黑体_GBK" w:hAnsi="Times New Roman" w:cs="Times New Roman"/>
                <w:color w:val="000000"/>
                <w:kern w:val="0"/>
                <w:sz w:val="21"/>
                <w:szCs w:val="21"/>
              </w:rPr>
              <w:t>级</w:t>
            </w:r>
          </w:p>
        </w:tc>
        <w:tc>
          <w:tcPr>
            <w:tcW w:w="984" w:type="dxa"/>
            <w:tcBorders>
              <w:top w:val="nil"/>
              <w:left w:val="nil"/>
              <w:bottom w:val="single" w:sz="4" w:space="0" w:color="auto"/>
              <w:right w:val="single" w:sz="4" w:space="0" w:color="auto"/>
            </w:tcBorders>
            <w:vAlign w:val="center"/>
          </w:tcPr>
          <w:p w:rsidR="008461A2" w:rsidRDefault="00DC3AC1">
            <w:pPr>
              <w:widowControl/>
              <w:spacing w:line="220" w:lineRule="exact"/>
              <w:jc w:val="center"/>
              <w:rPr>
                <w:rFonts w:ascii="Times New Roman" w:eastAsia="方正黑体_GBK" w:hAnsi="Times New Roman" w:cs="Times New Roman"/>
                <w:color w:val="000000"/>
                <w:kern w:val="0"/>
                <w:sz w:val="21"/>
                <w:szCs w:val="21"/>
              </w:rPr>
            </w:pPr>
            <w:r>
              <w:rPr>
                <w:rFonts w:ascii="Times New Roman" w:eastAsia="方正黑体_GBK" w:hAnsi="Times New Roman" w:cs="Times New Roman"/>
                <w:color w:val="000000"/>
                <w:kern w:val="0"/>
                <w:sz w:val="21"/>
                <w:szCs w:val="21"/>
              </w:rPr>
              <w:t>2</w:t>
            </w:r>
            <w:r>
              <w:rPr>
                <w:rFonts w:ascii="Times New Roman" w:eastAsia="方正黑体_GBK" w:hAnsi="Times New Roman" w:cs="Times New Roman"/>
                <w:color w:val="000000"/>
                <w:kern w:val="0"/>
                <w:sz w:val="21"/>
                <w:szCs w:val="21"/>
              </w:rPr>
              <w:t>级</w:t>
            </w:r>
          </w:p>
        </w:tc>
        <w:tc>
          <w:tcPr>
            <w:tcW w:w="984" w:type="dxa"/>
            <w:tcBorders>
              <w:top w:val="nil"/>
              <w:left w:val="nil"/>
              <w:bottom w:val="single" w:sz="4" w:space="0" w:color="auto"/>
              <w:right w:val="single" w:sz="4" w:space="0" w:color="auto"/>
            </w:tcBorders>
            <w:vAlign w:val="center"/>
          </w:tcPr>
          <w:p w:rsidR="008461A2" w:rsidRDefault="00DC3AC1">
            <w:pPr>
              <w:widowControl/>
              <w:spacing w:line="220" w:lineRule="exact"/>
              <w:jc w:val="center"/>
              <w:rPr>
                <w:rFonts w:ascii="Times New Roman" w:eastAsia="方正黑体_GBK" w:hAnsi="Times New Roman" w:cs="Times New Roman"/>
                <w:color w:val="000000"/>
                <w:kern w:val="0"/>
                <w:sz w:val="21"/>
                <w:szCs w:val="21"/>
              </w:rPr>
            </w:pPr>
            <w:r>
              <w:rPr>
                <w:rFonts w:ascii="Times New Roman" w:eastAsia="方正黑体_GBK" w:hAnsi="Times New Roman" w:cs="Times New Roman"/>
                <w:color w:val="000000"/>
                <w:kern w:val="0"/>
                <w:sz w:val="21"/>
                <w:szCs w:val="21"/>
              </w:rPr>
              <w:t>3</w:t>
            </w:r>
            <w:r>
              <w:rPr>
                <w:rFonts w:ascii="Times New Roman" w:eastAsia="方正黑体_GBK" w:hAnsi="Times New Roman" w:cs="Times New Roman"/>
                <w:color w:val="000000"/>
                <w:kern w:val="0"/>
                <w:sz w:val="21"/>
                <w:szCs w:val="21"/>
              </w:rPr>
              <w:t>级</w:t>
            </w:r>
          </w:p>
        </w:tc>
        <w:tc>
          <w:tcPr>
            <w:tcW w:w="984" w:type="dxa"/>
            <w:tcBorders>
              <w:top w:val="nil"/>
              <w:left w:val="nil"/>
              <w:bottom w:val="single" w:sz="4" w:space="0" w:color="auto"/>
              <w:right w:val="single" w:sz="4" w:space="0" w:color="auto"/>
            </w:tcBorders>
            <w:vAlign w:val="center"/>
          </w:tcPr>
          <w:p w:rsidR="008461A2" w:rsidRDefault="00DC3AC1">
            <w:pPr>
              <w:widowControl/>
              <w:spacing w:line="220" w:lineRule="exact"/>
              <w:jc w:val="center"/>
              <w:rPr>
                <w:rFonts w:ascii="Times New Roman" w:eastAsia="方正黑体_GBK" w:hAnsi="Times New Roman" w:cs="Times New Roman"/>
                <w:color w:val="000000"/>
                <w:kern w:val="0"/>
                <w:sz w:val="21"/>
                <w:szCs w:val="21"/>
              </w:rPr>
            </w:pPr>
            <w:r>
              <w:rPr>
                <w:rFonts w:ascii="Times New Roman" w:eastAsia="方正黑体_GBK" w:hAnsi="Times New Roman" w:cs="Times New Roman"/>
                <w:color w:val="000000"/>
                <w:kern w:val="0"/>
                <w:sz w:val="21"/>
                <w:szCs w:val="21"/>
              </w:rPr>
              <w:t>4</w:t>
            </w:r>
            <w:r>
              <w:rPr>
                <w:rFonts w:ascii="Times New Roman" w:eastAsia="方正黑体_GBK" w:hAnsi="Times New Roman" w:cs="Times New Roman"/>
                <w:color w:val="000000"/>
                <w:kern w:val="0"/>
                <w:sz w:val="21"/>
                <w:szCs w:val="21"/>
              </w:rPr>
              <w:t>级</w:t>
            </w:r>
          </w:p>
        </w:tc>
        <w:tc>
          <w:tcPr>
            <w:tcW w:w="984" w:type="dxa"/>
            <w:tcBorders>
              <w:top w:val="nil"/>
              <w:left w:val="nil"/>
              <w:bottom w:val="single" w:sz="4" w:space="0" w:color="auto"/>
              <w:right w:val="single" w:sz="4" w:space="0" w:color="auto"/>
            </w:tcBorders>
            <w:vAlign w:val="center"/>
          </w:tcPr>
          <w:p w:rsidR="008461A2" w:rsidRDefault="00DC3AC1">
            <w:pPr>
              <w:widowControl/>
              <w:spacing w:line="220" w:lineRule="exact"/>
              <w:jc w:val="center"/>
              <w:rPr>
                <w:rFonts w:ascii="Times New Roman" w:eastAsia="方正黑体_GBK" w:hAnsi="Times New Roman" w:cs="Times New Roman"/>
                <w:color w:val="000000"/>
                <w:kern w:val="0"/>
                <w:sz w:val="21"/>
                <w:szCs w:val="21"/>
              </w:rPr>
            </w:pPr>
            <w:r>
              <w:rPr>
                <w:rFonts w:ascii="Times New Roman" w:eastAsia="方正黑体_GBK" w:hAnsi="Times New Roman" w:cs="Times New Roman"/>
                <w:color w:val="000000"/>
                <w:kern w:val="0"/>
                <w:sz w:val="21"/>
                <w:szCs w:val="21"/>
              </w:rPr>
              <w:t>5</w:t>
            </w:r>
            <w:r>
              <w:rPr>
                <w:rFonts w:ascii="Times New Roman" w:eastAsia="方正黑体_GBK" w:hAnsi="Times New Roman" w:cs="Times New Roman"/>
                <w:color w:val="000000"/>
                <w:kern w:val="0"/>
                <w:sz w:val="21"/>
                <w:szCs w:val="21"/>
              </w:rPr>
              <w:t>级</w:t>
            </w:r>
          </w:p>
        </w:tc>
        <w:tc>
          <w:tcPr>
            <w:tcW w:w="984" w:type="dxa"/>
            <w:tcBorders>
              <w:top w:val="nil"/>
              <w:left w:val="nil"/>
              <w:bottom w:val="single" w:sz="4" w:space="0" w:color="auto"/>
              <w:right w:val="single" w:sz="4" w:space="0" w:color="auto"/>
            </w:tcBorders>
            <w:vAlign w:val="center"/>
          </w:tcPr>
          <w:p w:rsidR="008461A2" w:rsidRDefault="00DC3AC1">
            <w:pPr>
              <w:widowControl/>
              <w:spacing w:line="220" w:lineRule="exact"/>
              <w:jc w:val="center"/>
              <w:rPr>
                <w:rFonts w:ascii="Times New Roman" w:eastAsia="方正黑体_GBK" w:hAnsi="Times New Roman" w:cs="Times New Roman"/>
                <w:color w:val="000000"/>
                <w:kern w:val="0"/>
                <w:sz w:val="21"/>
                <w:szCs w:val="21"/>
              </w:rPr>
            </w:pPr>
            <w:r>
              <w:rPr>
                <w:rFonts w:ascii="Times New Roman" w:eastAsia="方正黑体_GBK" w:hAnsi="Times New Roman" w:cs="Times New Roman"/>
                <w:color w:val="000000"/>
                <w:kern w:val="0"/>
                <w:sz w:val="21"/>
                <w:szCs w:val="21"/>
              </w:rPr>
              <w:t>6</w:t>
            </w:r>
            <w:r>
              <w:rPr>
                <w:rFonts w:ascii="Times New Roman" w:eastAsia="方正黑体_GBK" w:hAnsi="Times New Roman" w:cs="Times New Roman"/>
                <w:color w:val="000000"/>
                <w:kern w:val="0"/>
                <w:sz w:val="21"/>
                <w:szCs w:val="21"/>
              </w:rPr>
              <w:t>级</w:t>
            </w:r>
          </w:p>
        </w:tc>
      </w:tr>
      <w:tr w:rsidR="008461A2" w:rsidTr="00DC3AC1">
        <w:trPr>
          <w:trHeight w:val="340"/>
          <w:jc w:val="center"/>
        </w:trPr>
        <w:tc>
          <w:tcPr>
            <w:tcW w:w="1183" w:type="dxa"/>
            <w:vMerge w:val="restart"/>
            <w:tcBorders>
              <w:top w:val="single" w:sz="4" w:space="0" w:color="auto"/>
              <w:left w:val="single" w:sz="4" w:space="0" w:color="auto"/>
              <w:bottom w:val="single" w:sz="4" w:space="0" w:color="auto"/>
              <w:right w:val="single" w:sz="4" w:space="0" w:color="auto"/>
            </w:tcBorders>
            <w:vAlign w:val="center"/>
          </w:tcPr>
          <w:p w:rsidR="008461A2" w:rsidRDefault="00DC3AC1">
            <w:pPr>
              <w:widowControl/>
              <w:spacing w:line="22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商服用地</w:t>
            </w:r>
          </w:p>
        </w:tc>
        <w:tc>
          <w:tcPr>
            <w:tcW w:w="1056" w:type="dxa"/>
            <w:tcBorders>
              <w:top w:val="nil"/>
              <w:left w:val="nil"/>
              <w:bottom w:val="single" w:sz="4" w:space="0" w:color="auto"/>
              <w:right w:val="single" w:sz="4" w:space="0" w:color="auto"/>
            </w:tcBorders>
            <w:vAlign w:val="center"/>
          </w:tcPr>
          <w:p w:rsidR="008461A2" w:rsidRDefault="00DC3AC1">
            <w:pPr>
              <w:widowControl/>
              <w:spacing w:line="22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2021</w:t>
            </w:r>
          </w:p>
        </w:tc>
        <w:tc>
          <w:tcPr>
            <w:tcW w:w="912" w:type="dxa"/>
            <w:tcBorders>
              <w:top w:val="nil"/>
              <w:left w:val="nil"/>
              <w:bottom w:val="single" w:sz="4" w:space="0" w:color="auto"/>
              <w:right w:val="single" w:sz="4" w:space="0" w:color="auto"/>
            </w:tcBorders>
            <w:vAlign w:val="center"/>
          </w:tcPr>
          <w:p w:rsidR="008461A2" w:rsidRDefault="00DC3AC1">
            <w:pPr>
              <w:widowControl/>
              <w:spacing w:line="22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2.5</w:t>
            </w:r>
          </w:p>
        </w:tc>
        <w:tc>
          <w:tcPr>
            <w:tcW w:w="984" w:type="dxa"/>
            <w:tcBorders>
              <w:top w:val="nil"/>
              <w:left w:val="nil"/>
              <w:bottom w:val="single" w:sz="4" w:space="0" w:color="auto"/>
              <w:right w:val="single" w:sz="4" w:space="0" w:color="auto"/>
            </w:tcBorders>
            <w:vAlign w:val="center"/>
          </w:tcPr>
          <w:p w:rsidR="008461A2" w:rsidRDefault="00DC3AC1">
            <w:pPr>
              <w:widowControl/>
              <w:spacing w:line="22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1340</w:t>
            </w:r>
          </w:p>
        </w:tc>
        <w:tc>
          <w:tcPr>
            <w:tcW w:w="984" w:type="dxa"/>
            <w:tcBorders>
              <w:top w:val="nil"/>
              <w:left w:val="nil"/>
              <w:bottom w:val="single" w:sz="4" w:space="0" w:color="auto"/>
              <w:right w:val="single" w:sz="4" w:space="0" w:color="auto"/>
            </w:tcBorders>
            <w:vAlign w:val="center"/>
          </w:tcPr>
          <w:p w:rsidR="008461A2" w:rsidRDefault="00DC3AC1">
            <w:pPr>
              <w:widowControl/>
              <w:spacing w:line="22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1050</w:t>
            </w:r>
          </w:p>
        </w:tc>
        <w:tc>
          <w:tcPr>
            <w:tcW w:w="984" w:type="dxa"/>
            <w:tcBorders>
              <w:top w:val="nil"/>
              <w:left w:val="nil"/>
              <w:bottom w:val="single" w:sz="4" w:space="0" w:color="auto"/>
              <w:right w:val="single" w:sz="4" w:space="0" w:color="auto"/>
            </w:tcBorders>
            <w:vAlign w:val="center"/>
          </w:tcPr>
          <w:p w:rsidR="008461A2" w:rsidRDefault="00DC3AC1">
            <w:pPr>
              <w:widowControl/>
              <w:spacing w:line="22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800</w:t>
            </w:r>
          </w:p>
        </w:tc>
        <w:tc>
          <w:tcPr>
            <w:tcW w:w="984" w:type="dxa"/>
            <w:tcBorders>
              <w:top w:val="nil"/>
              <w:left w:val="nil"/>
              <w:bottom w:val="single" w:sz="4" w:space="0" w:color="auto"/>
              <w:right w:val="single" w:sz="4" w:space="0" w:color="auto"/>
            </w:tcBorders>
            <w:vAlign w:val="center"/>
          </w:tcPr>
          <w:p w:rsidR="008461A2" w:rsidRDefault="00DC3AC1">
            <w:pPr>
              <w:widowControl/>
              <w:spacing w:line="22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560</w:t>
            </w:r>
          </w:p>
        </w:tc>
        <w:tc>
          <w:tcPr>
            <w:tcW w:w="984" w:type="dxa"/>
            <w:tcBorders>
              <w:top w:val="nil"/>
              <w:left w:val="nil"/>
              <w:bottom w:val="single" w:sz="4" w:space="0" w:color="auto"/>
              <w:right w:val="single" w:sz="4" w:space="0" w:color="auto"/>
            </w:tcBorders>
            <w:vAlign w:val="center"/>
          </w:tcPr>
          <w:p w:rsidR="008461A2" w:rsidRDefault="00DC3AC1">
            <w:pPr>
              <w:widowControl/>
              <w:spacing w:line="22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360</w:t>
            </w:r>
          </w:p>
        </w:tc>
        <w:tc>
          <w:tcPr>
            <w:tcW w:w="984" w:type="dxa"/>
            <w:tcBorders>
              <w:top w:val="nil"/>
              <w:left w:val="nil"/>
              <w:bottom w:val="single" w:sz="4" w:space="0" w:color="auto"/>
              <w:right w:val="single" w:sz="4" w:space="0" w:color="auto"/>
            </w:tcBorders>
            <w:vAlign w:val="center"/>
          </w:tcPr>
          <w:p w:rsidR="008461A2" w:rsidRDefault="00DC3AC1">
            <w:pPr>
              <w:widowControl/>
              <w:spacing w:line="22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180</w:t>
            </w:r>
          </w:p>
        </w:tc>
      </w:tr>
      <w:tr w:rsidR="008461A2" w:rsidTr="00DC3AC1">
        <w:trPr>
          <w:trHeight w:val="340"/>
          <w:jc w:val="center"/>
        </w:trPr>
        <w:tc>
          <w:tcPr>
            <w:tcW w:w="1183" w:type="dxa"/>
            <w:vMerge/>
            <w:tcBorders>
              <w:top w:val="single" w:sz="4" w:space="0" w:color="auto"/>
              <w:left w:val="single" w:sz="4" w:space="0" w:color="auto"/>
              <w:bottom w:val="single" w:sz="4" w:space="0" w:color="auto"/>
              <w:right w:val="single" w:sz="4" w:space="0" w:color="auto"/>
            </w:tcBorders>
            <w:vAlign w:val="center"/>
          </w:tcPr>
          <w:p w:rsidR="008461A2" w:rsidRDefault="008461A2">
            <w:pPr>
              <w:widowControl/>
              <w:spacing w:line="220" w:lineRule="exact"/>
              <w:jc w:val="center"/>
              <w:rPr>
                <w:rFonts w:ascii="Times New Roman" w:hAnsi="Times New Roman" w:cs="Times New Roman"/>
                <w:color w:val="000000"/>
                <w:kern w:val="0"/>
                <w:sz w:val="21"/>
                <w:szCs w:val="21"/>
              </w:rPr>
            </w:pPr>
          </w:p>
        </w:tc>
        <w:tc>
          <w:tcPr>
            <w:tcW w:w="1056" w:type="dxa"/>
            <w:tcBorders>
              <w:top w:val="nil"/>
              <w:left w:val="nil"/>
              <w:bottom w:val="single" w:sz="4" w:space="0" w:color="auto"/>
              <w:right w:val="single" w:sz="4" w:space="0" w:color="auto"/>
            </w:tcBorders>
            <w:vAlign w:val="center"/>
          </w:tcPr>
          <w:p w:rsidR="008461A2" w:rsidRDefault="00DC3AC1">
            <w:pPr>
              <w:widowControl/>
              <w:spacing w:line="22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2016</w:t>
            </w:r>
          </w:p>
        </w:tc>
        <w:tc>
          <w:tcPr>
            <w:tcW w:w="912" w:type="dxa"/>
            <w:tcBorders>
              <w:top w:val="nil"/>
              <w:left w:val="nil"/>
              <w:bottom w:val="single" w:sz="4" w:space="0" w:color="auto"/>
              <w:right w:val="single" w:sz="4" w:space="0" w:color="auto"/>
            </w:tcBorders>
            <w:vAlign w:val="center"/>
          </w:tcPr>
          <w:p w:rsidR="008461A2" w:rsidRDefault="00DC3AC1">
            <w:pPr>
              <w:widowControl/>
              <w:spacing w:line="22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3.0</w:t>
            </w:r>
          </w:p>
        </w:tc>
        <w:tc>
          <w:tcPr>
            <w:tcW w:w="984" w:type="dxa"/>
            <w:tcBorders>
              <w:top w:val="nil"/>
              <w:left w:val="nil"/>
              <w:bottom w:val="single" w:sz="4" w:space="0" w:color="auto"/>
              <w:right w:val="single" w:sz="4" w:space="0" w:color="auto"/>
            </w:tcBorders>
            <w:vAlign w:val="center"/>
          </w:tcPr>
          <w:p w:rsidR="008461A2" w:rsidRDefault="00DC3AC1">
            <w:pPr>
              <w:widowControl/>
              <w:spacing w:line="22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1150</w:t>
            </w:r>
          </w:p>
        </w:tc>
        <w:tc>
          <w:tcPr>
            <w:tcW w:w="984" w:type="dxa"/>
            <w:tcBorders>
              <w:top w:val="nil"/>
              <w:left w:val="nil"/>
              <w:bottom w:val="single" w:sz="4" w:space="0" w:color="auto"/>
              <w:right w:val="single" w:sz="4" w:space="0" w:color="auto"/>
            </w:tcBorders>
            <w:vAlign w:val="center"/>
          </w:tcPr>
          <w:p w:rsidR="008461A2" w:rsidRDefault="00DC3AC1">
            <w:pPr>
              <w:widowControl/>
              <w:spacing w:line="22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890</w:t>
            </w:r>
          </w:p>
        </w:tc>
        <w:tc>
          <w:tcPr>
            <w:tcW w:w="984" w:type="dxa"/>
            <w:tcBorders>
              <w:top w:val="nil"/>
              <w:left w:val="nil"/>
              <w:bottom w:val="single" w:sz="4" w:space="0" w:color="auto"/>
              <w:right w:val="single" w:sz="4" w:space="0" w:color="auto"/>
            </w:tcBorders>
            <w:vAlign w:val="center"/>
          </w:tcPr>
          <w:p w:rsidR="008461A2" w:rsidRDefault="00DC3AC1">
            <w:pPr>
              <w:widowControl/>
              <w:spacing w:line="22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680</w:t>
            </w:r>
          </w:p>
        </w:tc>
        <w:tc>
          <w:tcPr>
            <w:tcW w:w="984" w:type="dxa"/>
            <w:tcBorders>
              <w:top w:val="nil"/>
              <w:left w:val="nil"/>
              <w:bottom w:val="single" w:sz="4" w:space="0" w:color="auto"/>
              <w:right w:val="single" w:sz="4" w:space="0" w:color="auto"/>
            </w:tcBorders>
            <w:vAlign w:val="center"/>
          </w:tcPr>
          <w:p w:rsidR="008461A2" w:rsidRDefault="00DC3AC1">
            <w:pPr>
              <w:widowControl/>
              <w:spacing w:line="22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430</w:t>
            </w:r>
          </w:p>
        </w:tc>
        <w:tc>
          <w:tcPr>
            <w:tcW w:w="984" w:type="dxa"/>
            <w:tcBorders>
              <w:top w:val="nil"/>
              <w:left w:val="nil"/>
              <w:bottom w:val="single" w:sz="4" w:space="0" w:color="auto"/>
              <w:right w:val="single" w:sz="4" w:space="0" w:color="auto"/>
            </w:tcBorders>
            <w:vAlign w:val="center"/>
          </w:tcPr>
          <w:p w:rsidR="008461A2" w:rsidRDefault="00DC3AC1">
            <w:pPr>
              <w:widowControl/>
              <w:spacing w:line="22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280</w:t>
            </w:r>
          </w:p>
        </w:tc>
        <w:tc>
          <w:tcPr>
            <w:tcW w:w="984" w:type="dxa"/>
            <w:tcBorders>
              <w:top w:val="nil"/>
              <w:left w:val="nil"/>
              <w:bottom w:val="single" w:sz="4" w:space="0" w:color="auto"/>
              <w:right w:val="single" w:sz="4" w:space="0" w:color="auto"/>
            </w:tcBorders>
            <w:vAlign w:val="center"/>
          </w:tcPr>
          <w:p w:rsidR="008461A2" w:rsidRDefault="00DC3AC1">
            <w:pPr>
              <w:widowControl/>
              <w:spacing w:line="22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130</w:t>
            </w:r>
          </w:p>
        </w:tc>
      </w:tr>
      <w:tr w:rsidR="008461A2" w:rsidTr="00DC3AC1">
        <w:trPr>
          <w:trHeight w:val="340"/>
          <w:jc w:val="center"/>
        </w:trPr>
        <w:tc>
          <w:tcPr>
            <w:tcW w:w="1183" w:type="dxa"/>
            <w:vMerge w:val="restart"/>
            <w:tcBorders>
              <w:top w:val="single" w:sz="4" w:space="0" w:color="auto"/>
              <w:left w:val="single" w:sz="4" w:space="0" w:color="auto"/>
              <w:bottom w:val="single" w:sz="4" w:space="0" w:color="auto"/>
              <w:right w:val="single" w:sz="4" w:space="0" w:color="auto"/>
            </w:tcBorders>
            <w:vAlign w:val="center"/>
          </w:tcPr>
          <w:p w:rsidR="008461A2" w:rsidRDefault="00DC3AC1">
            <w:pPr>
              <w:widowControl/>
              <w:spacing w:line="220" w:lineRule="exact"/>
              <w:jc w:val="center"/>
              <w:textAlignment w:val="center"/>
              <w:rPr>
                <w:rFonts w:ascii="Times New Roman" w:hAnsi="Times New Roman" w:cs="Times New Roman"/>
                <w:kern w:val="0"/>
                <w:sz w:val="21"/>
                <w:szCs w:val="21"/>
                <w:lang/>
              </w:rPr>
            </w:pPr>
            <w:r>
              <w:rPr>
                <w:rFonts w:ascii="Times New Roman" w:hAnsi="Times New Roman" w:cs="Times New Roman"/>
                <w:color w:val="000000"/>
                <w:kern w:val="0"/>
                <w:sz w:val="21"/>
                <w:szCs w:val="21"/>
              </w:rPr>
              <w:t>住宅用地</w:t>
            </w:r>
          </w:p>
        </w:tc>
        <w:tc>
          <w:tcPr>
            <w:tcW w:w="1056" w:type="dxa"/>
            <w:tcBorders>
              <w:top w:val="nil"/>
              <w:left w:val="nil"/>
              <w:bottom w:val="single" w:sz="4" w:space="0" w:color="auto"/>
              <w:right w:val="single" w:sz="4" w:space="0" w:color="auto"/>
            </w:tcBorders>
            <w:vAlign w:val="center"/>
          </w:tcPr>
          <w:p w:rsidR="008461A2" w:rsidRDefault="00DC3AC1">
            <w:pPr>
              <w:widowControl/>
              <w:spacing w:line="220" w:lineRule="exact"/>
              <w:jc w:val="center"/>
              <w:textAlignment w:val="center"/>
              <w:rPr>
                <w:rFonts w:ascii="Times New Roman" w:hAnsi="Times New Roman" w:cs="Times New Roman"/>
                <w:kern w:val="0"/>
                <w:sz w:val="21"/>
                <w:szCs w:val="21"/>
                <w:lang/>
              </w:rPr>
            </w:pPr>
            <w:r>
              <w:rPr>
                <w:rFonts w:ascii="Times New Roman" w:hAnsi="Times New Roman" w:cs="Times New Roman"/>
                <w:kern w:val="0"/>
                <w:sz w:val="21"/>
                <w:szCs w:val="21"/>
                <w:lang/>
              </w:rPr>
              <w:t>2021</w:t>
            </w:r>
          </w:p>
        </w:tc>
        <w:tc>
          <w:tcPr>
            <w:tcW w:w="912" w:type="dxa"/>
            <w:tcBorders>
              <w:top w:val="nil"/>
              <w:left w:val="nil"/>
              <w:bottom w:val="single" w:sz="4" w:space="0" w:color="auto"/>
              <w:right w:val="single" w:sz="4" w:space="0" w:color="auto"/>
            </w:tcBorders>
            <w:vAlign w:val="center"/>
          </w:tcPr>
          <w:p w:rsidR="008461A2" w:rsidRDefault="00DC3AC1">
            <w:pPr>
              <w:widowControl/>
              <w:spacing w:line="220" w:lineRule="exact"/>
              <w:jc w:val="center"/>
              <w:textAlignment w:val="center"/>
              <w:rPr>
                <w:rFonts w:ascii="Times New Roman" w:hAnsi="Times New Roman" w:cs="Times New Roman"/>
                <w:kern w:val="0"/>
                <w:sz w:val="21"/>
                <w:szCs w:val="21"/>
                <w:lang/>
              </w:rPr>
            </w:pPr>
            <w:r>
              <w:rPr>
                <w:rFonts w:ascii="Times New Roman" w:hAnsi="Times New Roman" w:cs="Times New Roman"/>
                <w:kern w:val="0"/>
                <w:sz w:val="21"/>
                <w:szCs w:val="21"/>
                <w:lang/>
              </w:rPr>
              <w:t>2.0</w:t>
            </w:r>
          </w:p>
        </w:tc>
        <w:tc>
          <w:tcPr>
            <w:tcW w:w="984" w:type="dxa"/>
            <w:tcBorders>
              <w:top w:val="nil"/>
              <w:left w:val="nil"/>
              <w:bottom w:val="single" w:sz="4" w:space="0" w:color="auto"/>
              <w:right w:val="single" w:sz="4" w:space="0" w:color="auto"/>
            </w:tcBorders>
            <w:vAlign w:val="center"/>
          </w:tcPr>
          <w:p w:rsidR="008461A2" w:rsidRDefault="00DC3AC1">
            <w:pPr>
              <w:widowControl/>
              <w:spacing w:line="22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rPr>
              <w:t>1160</w:t>
            </w:r>
          </w:p>
        </w:tc>
        <w:tc>
          <w:tcPr>
            <w:tcW w:w="984" w:type="dxa"/>
            <w:tcBorders>
              <w:top w:val="nil"/>
              <w:left w:val="nil"/>
              <w:bottom w:val="single" w:sz="4" w:space="0" w:color="auto"/>
              <w:right w:val="single" w:sz="4" w:space="0" w:color="auto"/>
            </w:tcBorders>
            <w:vAlign w:val="center"/>
          </w:tcPr>
          <w:p w:rsidR="008461A2" w:rsidRDefault="00DC3AC1">
            <w:pPr>
              <w:widowControl/>
              <w:spacing w:line="22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rPr>
              <w:t>890</w:t>
            </w:r>
          </w:p>
        </w:tc>
        <w:tc>
          <w:tcPr>
            <w:tcW w:w="984" w:type="dxa"/>
            <w:tcBorders>
              <w:top w:val="nil"/>
              <w:left w:val="nil"/>
              <w:bottom w:val="single" w:sz="4" w:space="0" w:color="auto"/>
              <w:right w:val="single" w:sz="4" w:space="0" w:color="auto"/>
            </w:tcBorders>
            <w:vAlign w:val="center"/>
          </w:tcPr>
          <w:p w:rsidR="008461A2" w:rsidRDefault="00DC3AC1">
            <w:pPr>
              <w:widowControl/>
              <w:spacing w:line="22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rPr>
              <w:t>670</w:t>
            </w:r>
          </w:p>
        </w:tc>
        <w:tc>
          <w:tcPr>
            <w:tcW w:w="984" w:type="dxa"/>
            <w:tcBorders>
              <w:top w:val="nil"/>
              <w:left w:val="nil"/>
              <w:bottom w:val="single" w:sz="4" w:space="0" w:color="auto"/>
              <w:right w:val="single" w:sz="4" w:space="0" w:color="auto"/>
            </w:tcBorders>
            <w:vAlign w:val="center"/>
          </w:tcPr>
          <w:p w:rsidR="008461A2" w:rsidRDefault="00DC3AC1">
            <w:pPr>
              <w:widowControl/>
              <w:spacing w:line="22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rPr>
              <w:t>430</w:t>
            </w:r>
          </w:p>
        </w:tc>
        <w:tc>
          <w:tcPr>
            <w:tcW w:w="984" w:type="dxa"/>
            <w:tcBorders>
              <w:top w:val="nil"/>
              <w:left w:val="nil"/>
              <w:bottom w:val="single" w:sz="4" w:space="0" w:color="auto"/>
              <w:right w:val="single" w:sz="4" w:space="0" w:color="auto"/>
            </w:tcBorders>
            <w:vAlign w:val="center"/>
          </w:tcPr>
          <w:p w:rsidR="008461A2" w:rsidRDefault="00DC3AC1">
            <w:pPr>
              <w:widowControl/>
              <w:spacing w:line="220" w:lineRule="exact"/>
              <w:jc w:val="center"/>
              <w:textAlignment w:val="center"/>
              <w:rPr>
                <w:rFonts w:ascii="Times New Roman" w:hAnsi="Times New Roman" w:cs="Times New Roman"/>
                <w:sz w:val="21"/>
                <w:szCs w:val="21"/>
              </w:rPr>
            </w:pPr>
            <w:r>
              <w:rPr>
                <w:rFonts w:ascii="Times New Roman" w:hAnsi="Times New Roman" w:cs="Times New Roman"/>
                <w:kern w:val="0"/>
                <w:sz w:val="21"/>
                <w:szCs w:val="21"/>
                <w:lang/>
              </w:rPr>
              <w:t>190</w:t>
            </w:r>
          </w:p>
        </w:tc>
        <w:tc>
          <w:tcPr>
            <w:tcW w:w="984" w:type="dxa"/>
            <w:tcBorders>
              <w:top w:val="nil"/>
              <w:left w:val="nil"/>
              <w:bottom w:val="single" w:sz="4" w:space="0" w:color="auto"/>
              <w:right w:val="single" w:sz="4" w:space="0" w:color="auto"/>
            </w:tcBorders>
            <w:vAlign w:val="center"/>
          </w:tcPr>
          <w:p w:rsidR="008461A2" w:rsidRDefault="00DC3AC1">
            <w:pPr>
              <w:widowControl/>
              <w:spacing w:line="22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r>
      <w:tr w:rsidR="008461A2" w:rsidTr="00DC3AC1">
        <w:trPr>
          <w:trHeight w:val="340"/>
          <w:jc w:val="center"/>
        </w:trPr>
        <w:tc>
          <w:tcPr>
            <w:tcW w:w="1183" w:type="dxa"/>
            <w:vMerge/>
            <w:tcBorders>
              <w:top w:val="single" w:sz="4" w:space="0" w:color="auto"/>
              <w:left w:val="single" w:sz="4" w:space="0" w:color="auto"/>
              <w:bottom w:val="single" w:sz="4" w:space="0" w:color="auto"/>
              <w:right w:val="single" w:sz="4" w:space="0" w:color="auto"/>
            </w:tcBorders>
            <w:vAlign w:val="center"/>
          </w:tcPr>
          <w:p w:rsidR="008461A2" w:rsidRDefault="008461A2">
            <w:pPr>
              <w:widowControl/>
              <w:spacing w:line="220" w:lineRule="exact"/>
              <w:jc w:val="center"/>
              <w:rPr>
                <w:rFonts w:ascii="Times New Roman" w:hAnsi="Times New Roman" w:cs="Times New Roman"/>
                <w:color w:val="000000"/>
                <w:kern w:val="0"/>
                <w:sz w:val="21"/>
                <w:szCs w:val="21"/>
              </w:rPr>
            </w:pPr>
          </w:p>
        </w:tc>
        <w:tc>
          <w:tcPr>
            <w:tcW w:w="1056" w:type="dxa"/>
            <w:tcBorders>
              <w:top w:val="nil"/>
              <w:left w:val="nil"/>
              <w:bottom w:val="single" w:sz="4" w:space="0" w:color="auto"/>
              <w:right w:val="single" w:sz="4" w:space="0" w:color="auto"/>
            </w:tcBorders>
            <w:vAlign w:val="center"/>
          </w:tcPr>
          <w:p w:rsidR="008461A2" w:rsidRDefault="00DC3AC1">
            <w:pPr>
              <w:widowControl/>
              <w:spacing w:line="22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2016</w:t>
            </w:r>
          </w:p>
        </w:tc>
        <w:tc>
          <w:tcPr>
            <w:tcW w:w="912" w:type="dxa"/>
            <w:tcBorders>
              <w:top w:val="nil"/>
              <w:left w:val="nil"/>
              <w:bottom w:val="single" w:sz="4" w:space="0" w:color="auto"/>
              <w:right w:val="single" w:sz="4" w:space="0" w:color="auto"/>
            </w:tcBorders>
            <w:vAlign w:val="center"/>
          </w:tcPr>
          <w:p w:rsidR="008461A2" w:rsidRDefault="00DC3AC1">
            <w:pPr>
              <w:widowControl/>
              <w:spacing w:line="22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2.5</w:t>
            </w:r>
          </w:p>
        </w:tc>
        <w:tc>
          <w:tcPr>
            <w:tcW w:w="984" w:type="dxa"/>
            <w:tcBorders>
              <w:top w:val="nil"/>
              <w:left w:val="nil"/>
              <w:bottom w:val="single" w:sz="4" w:space="0" w:color="auto"/>
              <w:right w:val="single" w:sz="4" w:space="0" w:color="auto"/>
            </w:tcBorders>
            <w:vAlign w:val="center"/>
          </w:tcPr>
          <w:p w:rsidR="008461A2" w:rsidRDefault="00DC3AC1">
            <w:pPr>
              <w:widowControl/>
              <w:spacing w:line="22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850</w:t>
            </w:r>
          </w:p>
        </w:tc>
        <w:tc>
          <w:tcPr>
            <w:tcW w:w="984" w:type="dxa"/>
            <w:tcBorders>
              <w:top w:val="nil"/>
              <w:left w:val="nil"/>
              <w:bottom w:val="single" w:sz="4" w:space="0" w:color="auto"/>
              <w:right w:val="single" w:sz="4" w:space="0" w:color="auto"/>
            </w:tcBorders>
            <w:vAlign w:val="center"/>
          </w:tcPr>
          <w:p w:rsidR="008461A2" w:rsidRDefault="00DC3AC1">
            <w:pPr>
              <w:widowControl/>
              <w:spacing w:line="22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650</w:t>
            </w:r>
          </w:p>
        </w:tc>
        <w:tc>
          <w:tcPr>
            <w:tcW w:w="984" w:type="dxa"/>
            <w:tcBorders>
              <w:top w:val="nil"/>
              <w:left w:val="nil"/>
              <w:bottom w:val="single" w:sz="4" w:space="0" w:color="auto"/>
              <w:right w:val="single" w:sz="4" w:space="0" w:color="auto"/>
            </w:tcBorders>
            <w:vAlign w:val="center"/>
          </w:tcPr>
          <w:p w:rsidR="008461A2" w:rsidRDefault="00DC3AC1">
            <w:pPr>
              <w:widowControl/>
              <w:spacing w:line="22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510</w:t>
            </w:r>
          </w:p>
        </w:tc>
        <w:tc>
          <w:tcPr>
            <w:tcW w:w="984" w:type="dxa"/>
            <w:tcBorders>
              <w:top w:val="nil"/>
              <w:left w:val="nil"/>
              <w:bottom w:val="single" w:sz="4" w:space="0" w:color="auto"/>
              <w:right w:val="single" w:sz="4" w:space="0" w:color="auto"/>
            </w:tcBorders>
            <w:vAlign w:val="center"/>
          </w:tcPr>
          <w:p w:rsidR="008461A2" w:rsidRDefault="00DC3AC1">
            <w:pPr>
              <w:widowControl/>
              <w:spacing w:line="22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370</w:t>
            </w:r>
          </w:p>
        </w:tc>
        <w:tc>
          <w:tcPr>
            <w:tcW w:w="984" w:type="dxa"/>
            <w:tcBorders>
              <w:top w:val="nil"/>
              <w:left w:val="nil"/>
              <w:bottom w:val="single" w:sz="4" w:space="0" w:color="auto"/>
              <w:right w:val="single" w:sz="4" w:space="0" w:color="auto"/>
            </w:tcBorders>
            <w:vAlign w:val="center"/>
          </w:tcPr>
          <w:p w:rsidR="008461A2" w:rsidRDefault="00DC3AC1">
            <w:pPr>
              <w:widowControl/>
              <w:spacing w:line="22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250</w:t>
            </w:r>
          </w:p>
        </w:tc>
        <w:tc>
          <w:tcPr>
            <w:tcW w:w="984" w:type="dxa"/>
            <w:tcBorders>
              <w:top w:val="nil"/>
              <w:left w:val="nil"/>
              <w:bottom w:val="single" w:sz="4" w:space="0" w:color="auto"/>
              <w:right w:val="single" w:sz="4" w:space="0" w:color="auto"/>
            </w:tcBorders>
            <w:vAlign w:val="center"/>
          </w:tcPr>
          <w:p w:rsidR="008461A2" w:rsidRDefault="00DC3AC1">
            <w:pPr>
              <w:widowControl/>
              <w:spacing w:line="22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150</w:t>
            </w:r>
          </w:p>
        </w:tc>
      </w:tr>
      <w:tr w:rsidR="008461A2" w:rsidTr="00DC3AC1">
        <w:trPr>
          <w:trHeight w:val="340"/>
          <w:jc w:val="center"/>
        </w:trPr>
        <w:tc>
          <w:tcPr>
            <w:tcW w:w="1183" w:type="dxa"/>
            <w:vMerge w:val="restart"/>
            <w:tcBorders>
              <w:top w:val="single" w:sz="4" w:space="0" w:color="auto"/>
              <w:left w:val="single" w:sz="4" w:space="0" w:color="auto"/>
              <w:bottom w:val="single" w:sz="4" w:space="0" w:color="auto"/>
              <w:right w:val="single" w:sz="4" w:space="0" w:color="auto"/>
            </w:tcBorders>
            <w:vAlign w:val="center"/>
          </w:tcPr>
          <w:p w:rsidR="008461A2" w:rsidRDefault="00DC3AC1">
            <w:pPr>
              <w:widowControl/>
              <w:spacing w:line="22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工矿仓储用地</w:t>
            </w:r>
          </w:p>
        </w:tc>
        <w:tc>
          <w:tcPr>
            <w:tcW w:w="1056" w:type="dxa"/>
            <w:tcBorders>
              <w:top w:val="nil"/>
              <w:left w:val="nil"/>
              <w:bottom w:val="single" w:sz="4" w:space="0" w:color="auto"/>
              <w:right w:val="single" w:sz="4" w:space="0" w:color="auto"/>
            </w:tcBorders>
            <w:vAlign w:val="center"/>
          </w:tcPr>
          <w:p w:rsidR="008461A2" w:rsidRDefault="00DC3AC1">
            <w:pPr>
              <w:widowControl/>
              <w:spacing w:line="22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2021</w:t>
            </w:r>
          </w:p>
        </w:tc>
        <w:tc>
          <w:tcPr>
            <w:tcW w:w="912" w:type="dxa"/>
            <w:tcBorders>
              <w:top w:val="nil"/>
              <w:left w:val="nil"/>
              <w:bottom w:val="single" w:sz="4" w:space="0" w:color="auto"/>
              <w:right w:val="single" w:sz="4" w:space="0" w:color="auto"/>
            </w:tcBorders>
            <w:vAlign w:val="center"/>
          </w:tcPr>
          <w:p w:rsidR="008461A2" w:rsidRDefault="00DC3AC1">
            <w:pPr>
              <w:widowControl/>
              <w:spacing w:line="22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w:t>
            </w:r>
          </w:p>
        </w:tc>
        <w:tc>
          <w:tcPr>
            <w:tcW w:w="984" w:type="dxa"/>
            <w:tcBorders>
              <w:top w:val="nil"/>
              <w:left w:val="nil"/>
              <w:bottom w:val="single" w:sz="4" w:space="0" w:color="auto"/>
              <w:right w:val="single" w:sz="4" w:space="0" w:color="auto"/>
            </w:tcBorders>
            <w:vAlign w:val="center"/>
          </w:tcPr>
          <w:p w:rsidR="008461A2" w:rsidRDefault="00DC3AC1">
            <w:pPr>
              <w:widowControl/>
              <w:spacing w:line="22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270</w:t>
            </w:r>
          </w:p>
        </w:tc>
        <w:tc>
          <w:tcPr>
            <w:tcW w:w="984" w:type="dxa"/>
            <w:tcBorders>
              <w:top w:val="nil"/>
              <w:left w:val="nil"/>
              <w:bottom w:val="single" w:sz="4" w:space="0" w:color="auto"/>
              <w:right w:val="single" w:sz="4" w:space="0" w:color="auto"/>
            </w:tcBorders>
            <w:vAlign w:val="center"/>
          </w:tcPr>
          <w:p w:rsidR="008461A2" w:rsidRDefault="00DC3AC1">
            <w:pPr>
              <w:widowControl/>
              <w:spacing w:line="22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130</w:t>
            </w:r>
          </w:p>
        </w:tc>
        <w:tc>
          <w:tcPr>
            <w:tcW w:w="984" w:type="dxa"/>
            <w:tcBorders>
              <w:top w:val="nil"/>
              <w:left w:val="nil"/>
              <w:bottom w:val="single" w:sz="4" w:space="0" w:color="auto"/>
              <w:right w:val="single" w:sz="4" w:space="0" w:color="auto"/>
            </w:tcBorders>
            <w:vAlign w:val="center"/>
          </w:tcPr>
          <w:p w:rsidR="008461A2" w:rsidRDefault="00DC3AC1">
            <w:pPr>
              <w:widowControl/>
              <w:spacing w:line="22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w:t>
            </w:r>
            <w:r>
              <w:rPr>
                <w:rFonts w:ascii="Times New Roman" w:hAnsi="Times New Roman" w:cs="Times New Roman"/>
                <w:color w:val="000000"/>
                <w:kern w:val="0"/>
                <w:sz w:val="21"/>
                <w:szCs w:val="21"/>
              </w:rPr>
              <w:t>10</w:t>
            </w:r>
          </w:p>
        </w:tc>
        <w:tc>
          <w:tcPr>
            <w:tcW w:w="984" w:type="dxa"/>
            <w:tcBorders>
              <w:top w:val="nil"/>
              <w:left w:val="nil"/>
              <w:bottom w:val="single" w:sz="4" w:space="0" w:color="auto"/>
              <w:right w:val="single" w:sz="4" w:space="0" w:color="auto"/>
            </w:tcBorders>
            <w:vAlign w:val="center"/>
          </w:tcPr>
          <w:p w:rsidR="008461A2" w:rsidRDefault="00DC3AC1">
            <w:pPr>
              <w:widowControl/>
              <w:spacing w:line="22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984" w:type="dxa"/>
            <w:tcBorders>
              <w:top w:val="nil"/>
              <w:left w:val="nil"/>
              <w:bottom w:val="single" w:sz="4" w:space="0" w:color="auto"/>
              <w:right w:val="single" w:sz="4" w:space="0" w:color="auto"/>
            </w:tcBorders>
            <w:vAlign w:val="center"/>
          </w:tcPr>
          <w:p w:rsidR="008461A2" w:rsidRDefault="00DC3AC1">
            <w:pPr>
              <w:widowControl/>
              <w:spacing w:line="22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c>
          <w:tcPr>
            <w:tcW w:w="984" w:type="dxa"/>
            <w:tcBorders>
              <w:top w:val="nil"/>
              <w:left w:val="nil"/>
              <w:bottom w:val="single" w:sz="4" w:space="0" w:color="auto"/>
              <w:right w:val="single" w:sz="4" w:space="0" w:color="auto"/>
            </w:tcBorders>
            <w:vAlign w:val="center"/>
          </w:tcPr>
          <w:p w:rsidR="008461A2" w:rsidRDefault="00DC3AC1">
            <w:pPr>
              <w:widowControl/>
              <w:spacing w:line="22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w:t>
            </w:r>
          </w:p>
        </w:tc>
      </w:tr>
      <w:tr w:rsidR="008461A2" w:rsidTr="00DC3AC1">
        <w:trPr>
          <w:trHeight w:val="340"/>
          <w:jc w:val="center"/>
        </w:trPr>
        <w:tc>
          <w:tcPr>
            <w:tcW w:w="1183" w:type="dxa"/>
            <w:vMerge/>
            <w:tcBorders>
              <w:top w:val="single" w:sz="4" w:space="0" w:color="auto"/>
              <w:left w:val="single" w:sz="4" w:space="0" w:color="auto"/>
              <w:bottom w:val="single" w:sz="4" w:space="0" w:color="auto"/>
              <w:right w:val="single" w:sz="4" w:space="0" w:color="auto"/>
            </w:tcBorders>
            <w:vAlign w:val="center"/>
          </w:tcPr>
          <w:p w:rsidR="008461A2" w:rsidRDefault="008461A2">
            <w:pPr>
              <w:widowControl/>
              <w:spacing w:line="220" w:lineRule="exact"/>
              <w:jc w:val="center"/>
              <w:rPr>
                <w:rFonts w:ascii="Times New Roman" w:hAnsi="Times New Roman" w:cs="Times New Roman"/>
                <w:color w:val="000000"/>
                <w:kern w:val="0"/>
                <w:sz w:val="21"/>
                <w:szCs w:val="21"/>
              </w:rPr>
            </w:pPr>
          </w:p>
        </w:tc>
        <w:tc>
          <w:tcPr>
            <w:tcW w:w="1056" w:type="dxa"/>
            <w:tcBorders>
              <w:top w:val="nil"/>
              <w:left w:val="nil"/>
              <w:bottom w:val="single" w:sz="4" w:space="0" w:color="auto"/>
              <w:right w:val="single" w:sz="4" w:space="0" w:color="auto"/>
            </w:tcBorders>
            <w:vAlign w:val="center"/>
          </w:tcPr>
          <w:p w:rsidR="008461A2" w:rsidRDefault="00DC3AC1">
            <w:pPr>
              <w:widowControl/>
              <w:spacing w:line="22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2016</w:t>
            </w:r>
          </w:p>
        </w:tc>
        <w:tc>
          <w:tcPr>
            <w:tcW w:w="912" w:type="dxa"/>
            <w:tcBorders>
              <w:top w:val="nil"/>
              <w:left w:val="nil"/>
              <w:bottom w:val="single" w:sz="4" w:space="0" w:color="auto"/>
              <w:right w:val="single" w:sz="4" w:space="0" w:color="auto"/>
            </w:tcBorders>
            <w:vAlign w:val="center"/>
          </w:tcPr>
          <w:p w:rsidR="008461A2" w:rsidRDefault="00DC3AC1">
            <w:pPr>
              <w:widowControl/>
              <w:spacing w:line="22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w:t>
            </w:r>
          </w:p>
        </w:tc>
        <w:tc>
          <w:tcPr>
            <w:tcW w:w="984" w:type="dxa"/>
            <w:tcBorders>
              <w:top w:val="nil"/>
              <w:left w:val="nil"/>
              <w:bottom w:val="single" w:sz="4" w:space="0" w:color="auto"/>
              <w:right w:val="single" w:sz="4" w:space="0" w:color="auto"/>
            </w:tcBorders>
            <w:vAlign w:val="center"/>
          </w:tcPr>
          <w:p w:rsidR="008461A2" w:rsidRDefault="00DC3AC1">
            <w:pPr>
              <w:widowControl/>
              <w:spacing w:line="22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27</w:t>
            </w:r>
            <w:r>
              <w:rPr>
                <w:rFonts w:ascii="Times New Roman" w:hAnsi="Times New Roman" w:cs="Times New Roman"/>
                <w:color w:val="000000"/>
                <w:kern w:val="0"/>
                <w:sz w:val="21"/>
                <w:szCs w:val="21"/>
              </w:rPr>
              <w:t>0</w:t>
            </w:r>
          </w:p>
        </w:tc>
        <w:tc>
          <w:tcPr>
            <w:tcW w:w="984" w:type="dxa"/>
            <w:tcBorders>
              <w:top w:val="nil"/>
              <w:left w:val="nil"/>
              <w:bottom w:val="single" w:sz="4" w:space="0" w:color="auto"/>
              <w:right w:val="single" w:sz="4" w:space="0" w:color="auto"/>
            </w:tcBorders>
            <w:vAlign w:val="center"/>
          </w:tcPr>
          <w:p w:rsidR="008461A2" w:rsidRDefault="00DC3AC1">
            <w:pPr>
              <w:widowControl/>
              <w:spacing w:line="22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17</w:t>
            </w:r>
            <w:r>
              <w:rPr>
                <w:rFonts w:ascii="Times New Roman" w:hAnsi="Times New Roman" w:cs="Times New Roman"/>
                <w:color w:val="000000"/>
                <w:kern w:val="0"/>
                <w:sz w:val="21"/>
                <w:szCs w:val="21"/>
              </w:rPr>
              <w:t>0</w:t>
            </w:r>
          </w:p>
        </w:tc>
        <w:tc>
          <w:tcPr>
            <w:tcW w:w="984" w:type="dxa"/>
            <w:tcBorders>
              <w:top w:val="nil"/>
              <w:left w:val="nil"/>
              <w:bottom w:val="single" w:sz="4" w:space="0" w:color="auto"/>
              <w:right w:val="single" w:sz="4" w:space="0" w:color="auto"/>
            </w:tcBorders>
            <w:vAlign w:val="center"/>
          </w:tcPr>
          <w:p w:rsidR="008461A2" w:rsidRDefault="00DC3AC1">
            <w:pPr>
              <w:widowControl/>
              <w:spacing w:line="22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w:t>
            </w:r>
            <w:r>
              <w:rPr>
                <w:rFonts w:ascii="Times New Roman" w:hAnsi="Times New Roman" w:cs="Times New Roman"/>
                <w:color w:val="000000"/>
                <w:kern w:val="0"/>
                <w:sz w:val="21"/>
                <w:szCs w:val="21"/>
              </w:rPr>
              <w:t>30</w:t>
            </w:r>
          </w:p>
        </w:tc>
        <w:tc>
          <w:tcPr>
            <w:tcW w:w="984" w:type="dxa"/>
            <w:tcBorders>
              <w:top w:val="nil"/>
              <w:left w:val="nil"/>
              <w:bottom w:val="single" w:sz="4" w:space="0" w:color="auto"/>
              <w:right w:val="single" w:sz="4" w:space="0" w:color="auto"/>
            </w:tcBorders>
            <w:vAlign w:val="center"/>
          </w:tcPr>
          <w:p w:rsidR="008461A2" w:rsidRDefault="00DC3AC1">
            <w:pPr>
              <w:widowControl/>
              <w:spacing w:line="22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110</w:t>
            </w:r>
          </w:p>
        </w:tc>
        <w:tc>
          <w:tcPr>
            <w:tcW w:w="984" w:type="dxa"/>
            <w:tcBorders>
              <w:top w:val="nil"/>
              <w:left w:val="nil"/>
              <w:bottom w:val="single" w:sz="4" w:space="0" w:color="auto"/>
              <w:right w:val="single" w:sz="4" w:space="0" w:color="auto"/>
            </w:tcBorders>
            <w:vAlign w:val="center"/>
          </w:tcPr>
          <w:p w:rsidR="008461A2" w:rsidRDefault="00DC3AC1">
            <w:pPr>
              <w:widowControl/>
              <w:spacing w:line="22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105</w:t>
            </w:r>
          </w:p>
        </w:tc>
        <w:tc>
          <w:tcPr>
            <w:tcW w:w="984" w:type="dxa"/>
            <w:tcBorders>
              <w:top w:val="nil"/>
              <w:left w:val="nil"/>
              <w:bottom w:val="single" w:sz="4" w:space="0" w:color="auto"/>
              <w:right w:val="single" w:sz="4" w:space="0" w:color="auto"/>
            </w:tcBorders>
            <w:vAlign w:val="center"/>
          </w:tcPr>
          <w:p w:rsidR="008461A2" w:rsidRDefault="00DC3AC1">
            <w:pPr>
              <w:widowControl/>
              <w:spacing w:line="220" w:lineRule="exact"/>
              <w:jc w:val="center"/>
              <w:rPr>
                <w:rFonts w:ascii="Times New Roman" w:hAnsi="Times New Roman" w:cs="Times New Roman"/>
                <w:color w:val="000000"/>
                <w:kern w:val="0"/>
                <w:sz w:val="21"/>
                <w:szCs w:val="21"/>
              </w:rPr>
            </w:pPr>
            <w:r>
              <w:rPr>
                <w:rFonts w:ascii="Times New Roman" w:hAnsi="Times New Roman" w:cs="Times New Roman"/>
                <w:color w:val="000000"/>
                <w:kern w:val="0"/>
                <w:sz w:val="21"/>
                <w:szCs w:val="21"/>
              </w:rPr>
              <w:t>100</w:t>
            </w:r>
          </w:p>
        </w:tc>
      </w:tr>
    </w:tbl>
    <w:p w:rsidR="008461A2" w:rsidRDefault="00DC3AC1" w:rsidP="008461A2">
      <w:pPr>
        <w:pStyle w:val="a5"/>
        <w:shd w:val="clear" w:color="auto" w:fill="FFFFFF"/>
        <w:spacing w:before="0" w:beforeAutospacing="0" w:after="0" w:afterAutospacing="0" w:line="560" w:lineRule="exact"/>
        <w:ind w:firstLineChars="200" w:firstLine="634"/>
        <w:jc w:val="both"/>
        <w:rPr>
          <w:rStyle w:val="a6"/>
          <w:rFonts w:ascii="Times New Roman" w:eastAsia="方正黑体_GBK" w:hAnsi="Times New Roman" w:cs="Times New Roman"/>
          <w:color w:val="333333"/>
          <w:sz w:val="32"/>
          <w:szCs w:val="32"/>
        </w:rPr>
      </w:pPr>
      <w:r>
        <w:rPr>
          <w:rStyle w:val="a6"/>
          <w:rFonts w:ascii="Times New Roman" w:eastAsia="方正黑体_GBK" w:hAnsi="Times New Roman" w:cs="Times New Roman"/>
          <w:color w:val="333333"/>
          <w:sz w:val="32"/>
          <w:szCs w:val="32"/>
        </w:rPr>
        <w:lastRenderedPageBreak/>
        <w:t>三、新旧政策执行的衔接</w:t>
      </w:r>
    </w:p>
    <w:p w:rsidR="008461A2" w:rsidRDefault="00DC3AC1">
      <w:pPr>
        <w:pStyle w:val="a5"/>
        <w:shd w:val="clear" w:color="auto" w:fill="FFFFFF"/>
        <w:spacing w:before="0" w:beforeAutospacing="0" w:after="0" w:afterAutospacing="0" w:line="560" w:lineRule="exact"/>
        <w:ind w:firstLineChars="200" w:firstLine="632"/>
        <w:jc w:val="both"/>
        <w:rPr>
          <w:rFonts w:ascii="Times New Roman" w:eastAsia="方正仿宋_GBK" w:hAnsi="Times New Roman" w:cs="Times New Roman"/>
          <w:color w:val="333333"/>
          <w:sz w:val="32"/>
          <w:szCs w:val="32"/>
        </w:rPr>
      </w:pPr>
      <w:bookmarkStart w:id="0" w:name="_GoBack"/>
      <w:bookmarkEnd w:id="0"/>
      <w:r>
        <w:rPr>
          <w:rFonts w:ascii="Times New Roman" w:eastAsia="方正仿宋_GBK" w:hAnsi="Times New Roman" w:cs="Times New Roman"/>
          <w:color w:val="333333"/>
          <w:sz w:val="32"/>
          <w:szCs w:val="32"/>
        </w:rPr>
        <w:t>通知公布后于</w:t>
      </w:r>
      <w:r>
        <w:rPr>
          <w:rFonts w:ascii="Times New Roman" w:eastAsia="方正仿宋_GBK" w:hAnsi="Times New Roman" w:cs="Times New Roman"/>
          <w:color w:val="333333"/>
          <w:sz w:val="32"/>
          <w:szCs w:val="32"/>
        </w:rPr>
        <w:t>2022</w:t>
      </w:r>
      <w:r>
        <w:rPr>
          <w:rFonts w:ascii="Times New Roman" w:eastAsia="方正仿宋_GBK" w:hAnsi="Times New Roman" w:cs="Times New Roman"/>
          <w:color w:val="333333"/>
          <w:sz w:val="32"/>
          <w:szCs w:val="32"/>
        </w:rPr>
        <w:t>年</w:t>
      </w:r>
      <w:r>
        <w:rPr>
          <w:rFonts w:ascii="Times New Roman" w:eastAsia="方正仿宋_GBK" w:hAnsi="Times New Roman" w:cs="Times New Roman"/>
          <w:color w:val="333333"/>
          <w:sz w:val="32"/>
          <w:szCs w:val="32"/>
        </w:rPr>
        <w:t>7</w:t>
      </w:r>
      <w:r>
        <w:rPr>
          <w:rFonts w:ascii="Times New Roman" w:eastAsia="方正仿宋_GBK" w:hAnsi="Times New Roman" w:cs="Times New Roman"/>
          <w:color w:val="333333"/>
          <w:sz w:val="32"/>
          <w:szCs w:val="32"/>
        </w:rPr>
        <w:t>月</w:t>
      </w:r>
      <w:r>
        <w:rPr>
          <w:rFonts w:ascii="Times New Roman" w:eastAsia="方正仿宋_GBK" w:hAnsi="Times New Roman" w:cs="Times New Roman"/>
          <w:color w:val="333333"/>
          <w:sz w:val="32"/>
          <w:szCs w:val="32"/>
        </w:rPr>
        <w:t>1</w:t>
      </w:r>
      <w:r>
        <w:rPr>
          <w:rFonts w:ascii="Times New Roman" w:eastAsia="方正仿宋_GBK" w:hAnsi="Times New Roman" w:cs="Times New Roman"/>
          <w:color w:val="333333"/>
          <w:sz w:val="32"/>
          <w:szCs w:val="32"/>
        </w:rPr>
        <w:t>9</w:t>
      </w:r>
      <w:r>
        <w:rPr>
          <w:rFonts w:ascii="Times New Roman" w:eastAsia="方正仿宋_GBK" w:hAnsi="Times New Roman" w:cs="Times New Roman"/>
          <w:color w:val="333333"/>
          <w:sz w:val="32"/>
          <w:szCs w:val="32"/>
        </w:rPr>
        <w:t>日起施行，通知公布施行前已受理业务按原政策执行，施行后受理业务按新政策执行。</w:t>
      </w:r>
    </w:p>
    <w:p w:rsidR="008461A2" w:rsidRDefault="008461A2">
      <w:pPr>
        <w:pStyle w:val="a5"/>
        <w:shd w:val="clear" w:color="auto" w:fill="FFFFFF"/>
        <w:spacing w:before="0" w:beforeAutospacing="0" w:after="0" w:afterAutospacing="0" w:line="560" w:lineRule="exact"/>
        <w:ind w:firstLineChars="200" w:firstLine="632"/>
        <w:jc w:val="both"/>
        <w:rPr>
          <w:rFonts w:ascii="Times New Roman" w:eastAsia="方正仿宋_GBK" w:hAnsi="Times New Roman" w:cs="Times New Roman"/>
          <w:color w:val="333333"/>
          <w:sz w:val="32"/>
          <w:szCs w:val="32"/>
        </w:rPr>
      </w:pPr>
    </w:p>
    <w:sectPr w:rsidR="008461A2" w:rsidSect="008461A2">
      <w:footerReference w:type="default" r:id="rId7"/>
      <w:pgSz w:w="11906" w:h="16838"/>
      <w:pgMar w:top="2098" w:right="1474" w:bottom="1984" w:left="1588" w:header="851" w:footer="1587"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1A2" w:rsidRDefault="008461A2" w:rsidP="008461A2">
      <w:r>
        <w:separator/>
      </w:r>
    </w:p>
  </w:endnote>
  <w:endnote w:type="continuationSeparator" w:id="0">
    <w:p w:rsidR="008461A2" w:rsidRDefault="008461A2" w:rsidP="008461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方正仿宋_GBK">
    <w:altName w:val="黑体"/>
    <w:charset w:val="86"/>
    <w:family w:val="script"/>
    <w:pitch w:val="fixed"/>
    <w:sig w:usb0="00000000" w:usb1="080E0000" w:usb2="00000010" w:usb3="00000000" w:csb0="00040000" w:csb1="00000000"/>
  </w:font>
  <w:font w:name="方正小标宋_GBK">
    <w:altName w:val="黑体"/>
    <w:charset w:val="86"/>
    <w:family w:val="script"/>
    <w:pitch w:val="fixed"/>
    <w:sig w:usb0="00000000" w:usb1="080E0000" w:usb2="00000010" w:usb3="00000000" w:csb0="00040000" w:csb1="00000000"/>
  </w:font>
  <w:font w:name="方正黑体_GBK">
    <w:altName w:val="黑体"/>
    <w:charset w:val="86"/>
    <w:family w:val="script"/>
    <w:pitch w:val="fixed"/>
    <w:sig w:usb0="00000000" w:usb1="080E0000" w:usb2="00000010" w:usb3="00000000" w:csb0="00040000" w:csb1="00000000"/>
  </w:font>
  <w:font w:name="方正楷体_GBK">
    <w:altName w:val="黑体"/>
    <w:charset w:val="86"/>
    <w:family w:val="script"/>
    <w:pitch w:val="fixed"/>
    <w:sig w:usb0="00000000"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1A2" w:rsidRDefault="008461A2">
    <w:pPr>
      <w:pStyle w:val="a3"/>
      <w:ind w:leftChars="150" w:left="480" w:rightChars="150" w:right="480"/>
      <w:rPr>
        <w:rFonts w:hint="eastAsia"/>
      </w:rPr>
    </w:pPr>
    <w:r>
      <w:rPr>
        <w:rFonts w:hint="eastAsia"/>
      </w:rPr>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251658240;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8461A2" w:rsidRDefault="00DC3AC1">
                <w:pPr>
                  <w:pStyle w:val="a3"/>
                  <w:ind w:leftChars="150" w:left="480" w:rightChars="150" w:right="48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sidR="008461A2">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8461A2">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noProof/>
                    <w:sz w:val="28"/>
                    <w:szCs w:val="28"/>
                  </w:rPr>
                  <w:t>1</w:t>
                </w:r>
                <w:r w:rsidR="008461A2">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1A2" w:rsidRDefault="008461A2" w:rsidP="008461A2">
      <w:r>
        <w:separator/>
      </w:r>
    </w:p>
  </w:footnote>
  <w:footnote w:type="continuationSeparator" w:id="0">
    <w:p w:rsidR="008461A2" w:rsidRDefault="008461A2" w:rsidP="008461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HorizontalSpacing w:val="158"/>
  <w:drawingGridVerticalSpacing w:val="290"/>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62B9D"/>
    <w:rsid w:val="001248CF"/>
    <w:rsid w:val="00400CE3"/>
    <w:rsid w:val="0071267E"/>
    <w:rsid w:val="007B6A79"/>
    <w:rsid w:val="008461A2"/>
    <w:rsid w:val="00862B9D"/>
    <w:rsid w:val="008A34D4"/>
    <w:rsid w:val="00934FE4"/>
    <w:rsid w:val="00C401F0"/>
    <w:rsid w:val="00D52F71"/>
    <w:rsid w:val="00DC3AC1"/>
    <w:rsid w:val="00F02A46"/>
    <w:rsid w:val="00F135BE"/>
    <w:rsid w:val="00F94803"/>
    <w:rsid w:val="0B0C4C8B"/>
    <w:rsid w:val="0B142C26"/>
    <w:rsid w:val="14022F9E"/>
    <w:rsid w:val="17812FFB"/>
    <w:rsid w:val="2F2B4B22"/>
    <w:rsid w:val="39AF03F7"/>
    <w:rsid w:val="3EE92B70"/>
    <w:rsid w:val="5888061B"/>
    <w:rsid w:val="5B453E80"/>
    <w:rsid w:val="5E842C29"/>
    <w:rsid w:val="6ACB6C0C"/>
    <w:rsid w:val="6F5A0686"/>
    <w:rsid w:val="71691FF1"/>
    <w:rsid w:val="7A2716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8461A2"/>
    <w:pPr>
      <w:widowControl w:val="0"/>
      <w:jc w:val="both"/>
    </w:pPr>
    <w:rPr>
      <w:rFonts w:asciiTheme="minorHAnsi" w:eastAsia="方正仿宋_GBK" w:hAnsiTheme="minorHAnsi" w:cstheme="minorBidi"/>
      <w:kern w:val="2"/>
      <w:sz w:val="32"/>
      <w:szCs w:val="22"/>
    </w:rPr>
  </w:style>
  <w:style w:type="paragraph" w:styleId="3">
    <w:name w:val="heading 3"/>
    <w:basedOn w:val="a"/>
    <w:next w:val="a"/>
    <w:uiPriority w:val="9"/>
    <w:qFormat/>
    <w:rsid w:val="008461A2"/>
    <w:pPr>
      <w:keepNext/>
      <w:keepLines/>
      <w:spacing w:line="520" w:lineRule="atLeast"/>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rsid w:val="008461A2"/>
    <w:pPr>
      <w:tabs>
        <w:tab w:val="center" w:pos="4153"/>
        <w:tab w:val="right" w:pos="8306"/>
      </w:tabs>
      <w:snapToGrid w:val="0"/>
      <w:jc w:val="left"/>
    </w:pPr>
    <w:rPr>
      <w:sz w:val="18"/>
    </w:rPr>
  </w:style>
  <w:style w:type="paragraph" w:styleId="a4">
    <w:name w:val="header"/>
    <w:basedOn w:val="a"/>
    <w:uiPriority w:val="99"/>
    <w:semiHidden/>
    <w:unhideWhenUsed/>
    <w:qFormat/>
    <w:rsid w:val="008461A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semiHidden/>
    <w:unhideWhenUsed/>
    <w:qFormat/>
    <w:rsid w:val="008461A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461A2"/>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274</Words>
  <Characters>1563</Characters>
  <Application>Microsoft Office Word</Application>
  <DocSecurity>0</DocSecurity>
  <Lines>13</Lines>
  <Paragraphs>3</Paragraphs>
  <ScaleCrop>false</ScaleCrop>
  <Company>HP Inc.</Company>
  <LinksUpToDate>false</LinksUpToDate>
  <CharactersWithSpaces>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86183</dc:creator>
  <cp:lastModifiedBy>Administrator</cp:lastModifiedBy>
  <cp:revision>6</cp:revision>
  <cp:lastPrinted>2022-10-10T05:47:00Z</cp:lastPrinted>
  <dcterms:created xsi:type="dcterms:W3CDTF">2022-08-01T08:01:00Z</dcterms:created>
  <dcterms:modified xsi:type="dcterms:W3CDTF">2023-01-09T03:49:00Z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