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5FDC" w:rsidRDefault="00990B6E" w:rsidP="003F5FDC">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彭水苗族土家族自治县医疗保障事务中心</w:t>
      </w:r>
    </w:p>
    <w:p w:rsidR="003F5FDC" w:rsidRDefault="00990B6E" w:rsidP="003F5FDC">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2025年部门预算情况说明</w:t>
      </w:r>
    </w:p>
    <w:p w:rsidR="003F5FDC" w:rsidRDefault="003F5FDC" w:rsidP="003F5FDC">
      <w:pPr>
        <w:spacing w:line="560" w:lineRule="exact"/>
        <w:ind w:firstLineChars="200" w:firstLine="880"/>
        <w:jc w:val="center"/>
        <w:rPr>
          <w:rFonts w:ascii="华文中宋" w:eastAsia="华文中宋" w:hAnsi="华文中宋" w:cs="华文中宋"/>
          <w:sz w:val="44"/>
          <w:szCs w:val="44"/>
        </w:rPr>
      </w:pPr>
    </w:p>
    <w:p w:rsidR="003F5FDC" w:rsidRDefault="00990B6E" w:rsidP="003F5FDC">
      <w:pPr>
        <w:spacing w:line="56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3F5FDC" w:rsidRDefault="00990B6E" w:rsidP="003F5FDC">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3F5FDC" w:rsidRDefault="00990B6E" w:rsidP="003F5FDC">
      <w:pPr>
        <w:spacing w:line="560" w:lineRule="exact"/>
        <w:ind w:firstLineChars="200" w:firstLine="640"/>
        <w:rPr>
          <w:rFonts w:ascii="方正楷体_GBK" w:eastAsia="方正楷体_GBK" w:hAnsi="方正楷体_GBK" w:cs="方正楷体_GBK"/>
          <w:sz w:val="32"/>
        </w:rPr>
      </w:pPr>
      <w:r>
        <w:rPr>
          <w:rFonts w:ascii="仿宋_GB2312" w:eastAsia="仿宋_GB2312" w:hAnsi="仿宋" w:hint="eastAsia"/>
          <w:sz w:val="32"/>
          <w:szCs w:val="32"/>
        </w:rPr>
        <w:t>贯彻执行医疗保险、生育保险、医疗救助、补充保险等法律法规、方针政策；负责医疗保险、生育保险运行相关的具体事务，为全县各定点医药机构提供药品、耗材采购服务；指导乡镇(街道)医疗保险经办业务。</w:t>
      </w:r>
    </w:p>
    <w:p w:rsidR="003F5FDC" w:rsidRDefault="00990B6E" w:rsidP="003F5FDC">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3F5FDC" w:rsidRDefault="00990B6E" w:rsidP="003F5FDC">
      <w:pPr>
        <w:spacing w:line="560" w:lineRule="exact"/>
        <w:ind w:firstLineChars="200" w:firstLine="640"/>
        <w:rPr>
          <w:rFonts w:ascii="方正仿宋_GBK" w:eastAsia="方正仿宋_GBK" w:hAnsi="仿宋_GB2312" w:cs="仿宋_GB2312"/>
          <w:sz w:val="32"/>
        </w:rPr>
      </w:pPr>
      <w:r>
        <w:rPr>
          <w:rFonts w:ascii="仿宋_GB2312" w:eastAsia="仿宋_GB2312" w:hAnsi="仿宋" w:hint="eastAsia"/>
          <w:sz w:val="32"/>
          <w:szCs w:val="32"/>
        </w:rPr>
        <w:t>彭水自治县医疗保障事务中心核定内设机构8个，共8个内设科室</w:t>
      </w:r>
      <w:r w:rsidR="003F5FDC" w:rsidRPr="003F5FDC">
        <w:rPr>
          <w:rFonts w:ascii="方正仿宋_GBK" w:eastAsia="方正仿宋_GBK" w:hAnsi="仿宋_GB2312" w:cs="仿宋_GB2312" w:hint="eastAsia"/>
          <w:sz w:val="32"/>
        </w:rPr>
        <w:t>，分别是综合科、基金财务科、参保管理科、信息科、稽核督查科、医疗救助科、居民医保待遇科、职工医保待遇科</w:t>
      </w:r>
      <w:r w:rsidR="00BD64F5">
        <w:rPr>
          <w:rFonts w:ascii="方正仿宋_GBK" w:eastAsia="方正仿宋_GBK" w:hAnsi="仿宋_GB2312" w:cs="仿宋_GB2312" w:hint="eastAsia"/>
          <w:sz w:val="32"/>
        </w:rPr>
        <w:t>。</w:t>
      </w:r>
    </w:p>
    <w:p w:rsidR="003F5FDC" w:rsidRDefault="00990B6E" w:rsidP="003F5FDC">
      <w:pPr>
        <w:spacing w:line="56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3F5FDC" w:rsidRDefault="00990B6E" w:rsidP="003F5FDC">
      <w:pPr>
        <w:spacing w:line="56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2025年年初预算数434.42万元，其中：一般公共预算拨款434.42万元，政府性基金预算拨款0.00 万元，国有资本经营预算收入0.00万元，事业收入0.00万元，事业单位经营收入0.00万元，其他收入0.00万元。收入较2024年增加45.99万元，主要是人员经费拨款增加37.67万元，日常公用经费拨款增加8.32万元。</w:t>
      </w:r>
    </w:p>
    <w:p w:rsidR="003F5FDC" w:rsidRDefault="00990B6E" w:rsidP="003F5FDC">
      <w:pPr>
        <w:spacing w:line="56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2025年年初预算数434.42万元，其中：一般公共服务支出预算434.42万元，教育支出预算0.00万元，</w:t>
      </w:r>
      <w:r>
        <w:rPr>
          <w:rFonts w:ascii="方正仿宋_GBK" w:eastAsia="方正仿宋_GBK" w:hAnsi="仿宋_GB2312" w:cs="仿宋_GB2312" w:hint="eastAsia"/>
          <w:sz w:val="32"/>
        </w:rPr>
        <w:lastRenderedPageBreak/>
        <w:t>社会保障和就业支出预算64.75万元，卫生健康支出预算340.31万元，住房保障支出预算29.36万元。支出预算较2024年增加45.99万元，主要是基本支出预算增加45.99万元。</w:t>
      </w:r>
    </w:p>
    <w:p w:rsidR="003F5FDC" w:rsidRDefault="00990B6E" w:rsidP="003F5FDC">
      <w:pPr>
        <w:spacing w:line="56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3F5FDC" w:rsidRDefault="00990B6E" w:rsidP="003F5FDC">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434.42万元，一般公共预算财政拨款支出434.42万元，比2024年增加45.99万元。其中：基本支出434.42万元，比2024年增加45.99万元，主要原因是新招录人员，人员经费增加等，主要用于保障18名在职人员工资福利及社会保险缴费，离休人员离休费，退休人员补助等，保障部门正常运转的各项商品服务支出；项目支出0.00万元。</w:t>
      </w:r>
    </w:p>
    <w:p w:rsidR="003F5FDC" w:rsidRDefault="00990B6E" w:rsidP="003F5FDC">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彭水自治县医疗保障事务中心</w:t>
      </w:r>
      <w:r w:rsidR="003F5FDC" w:rsidRPr="003F5FDC">
        <w:rPr>
          <w:rFonts w:ascii="方正仿宋_GBK" w:eastAsia="方正仿宋_GBK" w:hAnsi="仿宋_GB2312" w:cs="仿宋_GB2312"/>
          <w:sz w:val="32"/>
        </w:rPr>
        <w:t>2025</w:t>
      </w:r>
      <w:r w:rsidR="003F5FDC" w:rsidRPr="003F5FDC">
        <w:rPr>
          <w:rFonts w:ascii="方正仿宋_GBK" w:eastAsia="方正仿宋_GBK" w:hAnsi="仿宋_GB2312" w:cs="仿宋_GB2312" w:hint="eastAsia"/>
          <w:sz w:val="32"/>
        </w:rPr>
        <w:t>年无使用政府性基金预算拨款安排的支出</w:t>
      </w:r>
      <w:r w:rsidR="003F5FDC">
        <w:rPr>
          <w:rFonts w:ascii="方正仿宋_GBK" w:eastAsia="方正仿宋_GBK" w:hAnsi="仿宋_GB2312" w:cs="仿宋_GB2312" w:hint="eastAsia"/>
          <w:sz w:val="32"/>
        </w:rPr>
        <w:t>。</w:t>
      </w:r>
    </w:p>
    <w:p w:rsidR="003F5FDC" w:rsidRDefault="00990B6E" w:rsidP="003F5FDC">
      <w:pPr>
        <w:spacing w:line="56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3F5FDC" w:rsidRDefault="00990B6E" w:rsidP="003F5FDC">
      <w:pPr>
        <w:spacing w:line="56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2025年“三公”经费预算0.00万元，与2024年一致。</w:t>
      </w:r>
    </w:p>
    <w:p w:rsidR="003F5FDC" w:rsidRDefault="00990B6E" w:rsidP="003F5FDC">
      <w:pPr>
        <w:spacing w:line="56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3F5FDC" w:rsidRDefault="00990B6E" w:rsidP="003F5FDC">
      <w:pPr>
        <w:spacing w:line="56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2025年一般公共预算财政拨款运行经费67.64万元，比上年增加8.32万元，主要原因为人员增加。主要用于办公费、印刷费、邮电费、水电费、物管费、差旅费、会议费、培训费及其他商品和服务支出等。</w:t>
      </w:r>
    </w:p>
    <w:p w:rsidR="003F5FDC" w:rsidRDefault="00990B6E" w:rsidP="003F5FDC">
      <w:pPr>
        <w:spacing w:line="56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本单位政府采购预算总额2.00万元：政府采购货物预算2.00万元、政府采购工程预算0.00万元、政府采购服务预算0.00万元；其中一般公共预算拨款政府采购2.00</w:t>
      </w:r>
      <w:r>
        <w:rPr>
          <w:rFonts w:ascii="方正仿宋_GBK" w:eastAsia="方正仿宋_GBK" w:hAnsi="仿宋_GB2312" w:cs="仿宋_GB2312" w:hint="eastAsia"/>
          <w:sz w:val="32"/>
        </w:rPr>
        <w:lastRenderedPageBreak/>
        <w:t>万元：政府采购货物预算2.00万元、政府采购工程预算0.00万元、政府采购服务预算0.00万元。</w:t>
      </w:r>
    </w:p>
    <w:p w:rsidR="003F5FDC" w:rsidRDefault="00990B6E" w:rsidP="003F5FDC">
      <w:pPr>
        <w:spacing w:line="56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sidR="00132811">
        <w:rPr>
          <w:rFonts w:ascii="方正楷体_GBK" w:eastAsia="方正楷体_GBK" w:hAnsi="方正楷体_GBK" w:cs="方正楷体_GBK" w:hint="eastAsia"/>
          <w:sz w:val="32"/>
        </w:rPr>
        <w:t>本</w:t>
      </w:r>
      <w:r w:rsidR="00132811">
        <w:rPr>
          <w:rFonts w:ascii="方正仿宋_GBK" w:eastAsia="方正仿宋_GBK" w:hAnsi="仿宋_GB2312" w:cs="仿宋_GB2312" w:hint="eastAsia"/>
          <w:color w:val="000000"/>
          <w:sz w:val="32"/>
        </w:rPr>
        <w:t>单位无特定目标类项目预算支出。</w:t>
      </w:r>
    </w:p>
    <w:p w:rsidR="003F5FDC" w:rsidRDefault="00990B6E" w:rsidP="003F5FDC">
      <w:pPr>
        <w:spacing w:line="56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截至2024年12月，所属各预算单位共有车辆0辆，其中一般公务用车0辆、执勤执法用车0辆。2025年一般公共预算安排购置车辆0辆，其中一般公务用车0辆、执勤执法用车0辆。</w:t>
      </w:r>
    </w:p>
    <w:p w:rsidR="003F5FDC" w:rsidRDefault="00990B6E" w:rsidP="003F5FDC">
      <w:pPr>
        <w:spacing w:line="56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3F5FDC" w:rsidRDefault="00990B6E" w:rsidP="003F5FDC">
      <w:pPr>
        <w:pStyle w:val="a7"/>
        <w:tabs>
          <w:tab w:val="center" w:pos="4153"/>
          <w:tab w:val="left" w:pos="7275"/>
        </w:tabs>
        <w:spacing w:line="56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3F5FDC" w:rsidRDefault="00990B6E" w:rsidP="003F5FDC">
      <w:pPr>
        <w:pStyle w:val="a7"/>
        <w:tabs>
          <w:tab w:val="center" w:pos="4153"/>
          <w:tab w:val="left" w:pos="7275"/>
        </w:tabs>
        <w:spacing w:line="56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3F5FDC" w:rsidRDefault="00990B6E" w:rsidP="003F5FDC">
      <w:pPr>
        <w:pStyle w:val="a7"/>
        <w:tabs>
          <w:tab w:val="center" w:pos="4153"/>
          <w:tab w:val="left" w:pos="7275"/>
        </w:tabs>
        <w:spacing w:line="56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3F5FDC" w:rsidRDefault="00990B6E" w:rsidP="003F5FDC">
      <w:pPr>
        <w:pStyle w:val="a7"/>
        <w:tabs>
          <w:tab w:val="center" w:pos="4153"/>
          <w:tab w:val="left" w:pos="7275"/>
        </w:tabs>
        <w:spacing w:line="56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3F5FDC" w:rsidRDefault="00990B6E" w:rsidP="003F5FDC">
      <w:pPr>
        <w:spacing w:line="56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w:t>
      </w:r>
      <w:r>
        <w:rPr>
          <w:rFonts w:ascii="方正仿宋_GBK" w:eastAsia="方正仿宋_GBK" w:hint="eastAsia"/>
          <w:sz w:val="32"/>
          <w:szCs w:val="32"/>
        </w:rPr>
        <w:lastRenderedPageBreak/>
        <w:t>务用车运行维护费反映单位按规定保留的公务用车燃料费、维修费、过路过桥费、保险费、安全奖励费用等支出；公务接待费反映单位按规定开支的各类公务接待（含外宾接待）支出。</w:t>
      </w:r>
    </w:p>
    <w:p w:rsidR="003F5FDC" w:rsidRDefault="003F5FDC" w:rsidP="003F5FDC">
      <w:pPr>
        <w:spacing w:line="560" w:lineRule="exact"/>
        <w:ind w:firstLineChars="200" w:firstLine="643"/>
        <w:rPr>
          <w:rFonts w:ascii="方正仿宋_GBK" w:eastAsia="方正仿宋_GBK" w:hAnsi="仿宋_GB2312" w:cs="仿宋_GB2312"/>
          <w:b/>
          <w:sz w:val="32"/>
        </w:rPr>
      </w:pPr>
    </w:p>
    <w:p w:rsidR="003F5FDC" w:rsidRDefault="00990B6E" w:rsidP="003F5FDC">
      <w:pPr>
        <w:spacing w:line="56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部门预算公开联系人：周星伊；联系方式：023-78442919</w:t>
      </w:r>
    </w:p>
    <w:p w:rsidR="003F5FDC" w:rsidRDefault="003F5FDC" w:rsidP="003F5FDC">
      <w:pPr>
        <w:spacing w:line="560" w:lineRule="exact"/>
        <w:ind w:firstLineChars="200" w:firstLine="643"/>
        <w:rPr>
          <w:rFonts w:ascii="仿宋_GB2312" w:eastAsia="仿宋_GB2312" w:hAnsi="仿宋_GB2312" w:cs="仿宋_GB2312"/>
          <w:b/>
          <w:sz w:val="32"/>
        </w:rPr>
      </w:pPr>
    </w:p>
    <w:sectPr w:rsidR="003F5FDC" w:rsidSect="003F5FDC">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14A" w:rsidRDefault="0076414A" w:rsidP="003F5FDC">
      <w:r>
        <w:separator/>
      </w:r>
    </w:p>
  </w:endnote>
  <w:endnote w:type="continuationSeparator" w:id="1">
    <w:p w:rsidR="0076414A" w:rsidRDefault="0076414A" w:rsidP="003F5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DC" w:rsidRDefault="00331A87">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filled="f" stroked="f">
          <v:textbox style="mso-fit-shape-to-text:t" inset="0,0,0,0">
            <w:txbxContent>
              <w:p w:rsidR="003F5FDC" w:rsidRDefault="00990B6E">
                <w:pPr>
                  <w:pStyle w:val="a4"/>
                  <w:rPr>
                    <w:rFonts w:ascii="宋体" w:hAnsi="宋体" w:cs="宋体"/>
                    <w:sz w:val="28"/>
                    <w:szCs w:val="28"/>
                  </w:rPr>
                </w:pPr>
                <w:r>
                  <w:rPr>
                    <w:rFonts w:ascii="宋体" w:hAnsi="宋体" w:cs="宋体" w:hint="eastAsia"/>
                    <w:sz w:val="28"/>
                    <w:szCs w:val="28"/>
                  </w:rPr>
                  <w:t xml:space="preserve">— </w:t>
                </w:r>
                <w:r w:rsidR="00331A8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31A87">
                  <w:rPr>
                    <w:rFonts w:ascii="宋体" w:hAnsi="宋体" w:cs="宋体" w:hint="eastAsia"/>
                    <w:sz w:val="28"/>
                    <w:szCs w:val="28"/>
                  </w:rPr>
                  <w:fldChar w:fldCharType="separate"/>
                </w:r>
                <w:r w:rsidR="00BD64F5">
                  <w:rPr>
                    <w:rFonts w:ascii="宋体" w:hAnsi="宋体" w:cs="宋体"/>
                    <w:noProof/>
                    <w:sz w:val="28"/>
                    <w:szCs w:val="28"/>
                  </w:rPr>
                  <w:t>1</w:t>
                </w:r>
                <w:r w:rsidR="00331A8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14A" w:rsidRDefault="0076414A" w:rsidP="003F5FDC">
      <w:r>
        <w:separator/>
      </w:r>
    </w:p>
  </w:footnote>
  <w:footnote w:type="continuationSeparator" w:id="1">
    <w:p w:rsidR="0076414A" w:rsidRDefault="0076414A" w:rsidP="003F5FD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IzNmY3NDI2NjJlN2EyMmI3MGZjZTc3YzFlMWNkZDgifQ=="/>
  </w:docVars>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E7340"/>
    <w:rsid w:val="000F1499"/>
    <w:rsid w:val="000F5707"/>
    <w:rsid w:val="0010264D"/>
    <w:rsid w:val="00106A76"/>
    <w:rsid w:val="00113870"/>
    <w:rsid w:val="00125C07"/>
    <w:rsid w:val="00132811"/>
    <w:rsid w:val="0014404E"/>
    <w:rsid w:val="001525DD"/>
    <w:rsid w:val="00161474"/>
    <w:rsid w:val="00165A74"/>
    <w:rsid w:val="00191ADC"/>
    <w:rsid w:val="001957F9"/>
    <w:rsid w:val="001C0A7C"/>
    <w:rsid w:val="001D0CAA"/>
    <w:rsid w:val="001D4937"/>
    <w:rsid w:val="001E1AED"/>
    <w:rsid w:val="001E31D9"/>
    <w:rsid w:val="001F6688"/>
    <w:rsid w:val="00202E0A"/>
    <w:rsid w:val="002132E9"/>
    <w:rsid w:val="00213635"/>
    <w:rsid w:val="00226F1D"/>
    <w:rsid w:val="00227CD7"/>
    <w:rsid w:val="00230754"/>
    <w:rsid w:val="00242727"/>
    <w:rsid w:val="00246006"/>
    <w:rsid w:val="00246AA4"/>
    <w:rsid w:val="00252849"/>
    <w:rsid w:val="002605A5"/>
    <w:rsid w:val="0026529F"/>
    <w:rsid w:val="0027005A"/>
    <w:rsid w:val="002773F0"/>
    <w:rsid w:val="00280A93"/>
    <w:rsid w:val="00286440"/>
    <w:rsid w:val="002959B6"/>
    <w:rsid w:val="002A1D53"/>
    <w:rsid w:val="002B41F1"/>
    <w:rsid w:val="002C4122"/>
    <w:rsid w:val="002D2A88"/>
    <w:rsid w:val="002E46A9"/>
    <w:rsid w:val="0030024E"/>
    <w:rsid w:val="003019D9"/>
    <w:rsid w:val="00331A87"/>
    <w:rsid w:val="00341606"/>
    <w:rsid w:val="00346387"/>
    <w:rsid w:val="0034700C"/>
    <w:rsid w:val="00357A28"/>
    <w:rsid w:val="00367516"/>
    <w:rsid w:val="00375FC9"/>
    <w:rsid w:val="00383298"/>
    <w:rsid w:val="003872D5"/>
    <w:rsid w:val="0039559F"/>
    <w:rsid w:val="003B11A5"/>
    <w:rsid w:val="003B33C4"/>
    <w:rsid w:val="003B36C2"/>
    <w:rsid w:val="003C6A86"/>
    <w:rsid w:val="003D14F0"/>
    <w:rsid w:val="003D7234"/>
    <w:rsid w:val="003D7504"/>
    <w:rsid w:val="003E4EB6"/>
    <w:rsid w:val="003F5FDC"/>
    <w:rsid w:val="003F6450"/>
    <w:rsid w:val="00417C8B"/>
    <w:rsid w:val="00430B72"/>
    <w:rsid w:val="00437D88"/>
    <w:rsid w:val="004417DC"/>
    <w:rsid w:val="00445520"/>
    <w:rsid w:val="00462595"/>
    <w:rsid w:val="004756B4"/>
    <w:rsid w:val="0049017F"/>
    <w:rsid w:val="00492FB3"/>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E18A6"/>
    <w:rsid w:val="005F1960"/>
    <w:rsid w:val="006115F1"/>
    <w:rsid w:val="00620BCE"/>
    <w:rsid w:val="0066585E"/>
    <w:rsid w:val="00670232"/>
    <w:rsid w:val="006809FA"/>
    <w:rsid w:val="006C01C3"/>
    <w:rsid w:val="006C24D3"/>
    <w:rsid w:val="006D0C33"/>
    <w:rsid w:val="006D1609"/>
    <w:rsid w:val="006E0BEC"/>
    <w:rsid w:val="006E455F"/>
    <w:rsid w:val="006F7539"/>
    <w:rsid w:val="00714828"/>
    <w:rsid w:val="007158F8"/>
    <w:rsid w:val="0071734A"/>
    <w:rsid w:val="007252E3"/>
    <w:rsid w:val="00742C4D"/>
    <w:rsid w:val="007620B8"/>
    <w:rsid w:val="00762CF8"/>
    <w:rsid w:val="0076414A"/>
    <w:rsid w:val="00765DF5"/>
    <w:rsid w:val="007713EB"/>
    <w:rsid w:val="00781A2E"/>
    <w:rsid w:val="00791CE4"/>
    <w:rsid w:val="007B10D4"/>
    <w:rsid w:val="007B22D6"/>
    <w:rsid w:val="007B5ACF"/>
    <w:rsid w:val="007B6182"/>
    <w:rsid w:val="007C4C9B"/>
    <w:rsid w:val="007D2AEA"/>
    <w:rsid w:val="007E0B4D"/>
    <w:rsid w:val="007E5982"/>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C395F"/>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90B6E"/>
    <w:rsid w:val="009B77D4"/>
    <w:rsid w:val="009C2E72"/>
    <w:rsid w:val="009E6734"/>
    <w:rsid w:val="009F01A9"/>
    <w:rsid w:val="00A05F72"/>
    <w:rsid w:val="00A07288"/>
    <w:rsid w:val="00A15ABA"/>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0BB9"/>
    <w:rsid w:val="00BD5FA5"/>
    <w:rsid w:val="00BD64F5"/>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343D3"/>
    <w:rsid w:val="00D40ADE"/>
    <w:rsid w:val="00D411DD"/>
    <w:rsid w:val="00D46486"/>
    <w:rsid w:val="00D64C2C"/>
    <w:rsid w:val="00D66063"/>
    <w:rsid w:val="00D77D37"/>
    <w:rsid w:val="00D80BC2"/>
    <w:rsid w:val="00D8620E"/>
    <w:rsid w:val="00D97080"/>
    <w:rsid w:val="00DA5AB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D74F6"/>
    <w:rsid w:val="00EE21B6"/>
    <w:rsid w:val="00EF1174"/>
    <w:rsid w:val="00EF1B14"/>
    <w:rsid w:val="00EF782E"/>
    <w:rsid w:val="00EF7D6B"/>
    <w:rsid w:val="00F11A07"/>
    <w:rsid w:val="00F258CE"/>
    <w:rsid w:val="00F605C0"/>
    <w:rsid w:val="00F66710"/>
    <w:rsid w:val="00F84112"/>
    <w:rsid w:val="00F86A3C"/>
    <w:rsid w:val="00F90464"/>
    <w:rsid w:val="00F9492F"/>
    <w:rsid w:val="00FC2169"/>
    <w:rsid w:val="00FC2267"/>
    <w:rsid w:val="00FD079A"/>
    <w:rsid w:val="00FE12C3"/>
    <w:rsid w:val="00FE28C5"/>
    <w:rsid w:val="00FE450D"/>
    <w:rsid w:val="06723917"/>
    <w:rsid w:val="0C531C53"/>
    <w:rsid w:val="11AB78B1"/>
    <w:rsid w:val="18CC21E2"/>
    <w:rsid w:val="19D75DEA"/>
    <w:rsid w:val="1A346958"/>
    <w:rsid w:val="20440793"/>
    <w:rsid w:val="245B1846"/>
    <w:rsid w:val="286A785E"/>
    <w:rsid w:val="2BD36E65"/>
    <w:rsid w:val="31696B0B"/>
    <w:rsid w:val="3BC5739B"/>
    <w:rsid w:val="48310C7F"/>
    <w:rsid w:val="491E115F"/>
    <w:rsid w:val="4F342B78"/>
    <w:rsid w:val="56653CB3"/>
    <w:rsid w:val="6F8B25C4"/>
    <w:rsid w:val="765A7194"/>
    <w:rsid w:val="776529D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F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5FDC"/>
    <w:rPr>
      <w:sz w:val="18"/>
      <w:szCs w:val="18"/>
      <w:lang/>
    </w:rPr>
  </w:style>
  <w:style w:type="paragraph" w:styleId="a4">
    <w:name w:val="footer"/>
    <w:basedOn w:val="a"/>
    <w:link w:val="Char0"/>
    <w:rsid w:val="003F5FDC"/>
    <w:pPr>
      <w:tabs>
        <w:tab w:val="center" w:pos="4153"/>
        <w:tab w:val="right" w:pos="8306"/>
      </w:tabs>
      <w:snapToGrid w:val="0"/>
      <w:jc w:val="left"/>
    </w:pPr>
    <w:rPr>
      <w:sz w:val="18"/>
      <w:szCs w:val="18"/>
      <w:lang/>
    </w:rPr>
  </w:style>
  <w:style w:type="paragraph" w:styleId="a5">
    <w:name w:val="header"/>
    <w:basedOn w:val="a"/>
    <w:link w:val="Char1"/>
    <w:rsid w:val="003F5FDC"/>
    <w:pPr>
      <w:pBdr>
        <w:bottom w:val="single" w:sz="6" w:space="1" w:color="auto"/>
      </w:pBdr>
      <w:tabs>
        <w:tab w:val="center" w:pos="4153"/>
        <w:tab w:val="right" w:pos="8306"/>
      </w:tabs>
      <w:snapToGrid w:val="0"/>
      <w:jc w:val="center"/>
    </w:pPr>
    <w:rPr>
      <w:sz w:val="18"/>
      <w:szCs w:val="18"/>
      <w:lang/>
    </w:rPr>
  </w:style>
  <w:style w:type="paragraph" w:styleId="a6">
    <w:name w:val="Normal (Web)"/>
    <w:basedOn w:val="a"/>
    <w:uiPriority w:val="99"/>
    <w:unhideWhenUsed/>
    <w:rsid w:val="003F5FDC"/>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rsid w:val="003F5FDC"/>
    <w:rPr>
      <w:kern w:val="2"/>
      <w:sz w:val="18"/>
      <w:szCs w:val="18"/>
    </w:rPr>
  </w:style>
  <w:style w:type="character" w:customStyle="1" w:styleId="Char0">
    <w:name w:val="页脚 Char"/>
    <w:link w:val="a4"/>
    <w:rsid w:val="003F5FDC"/>
    <w:rPr>
      <w:kern w:val="2"/>
      <w:sz w:val="18"/>
      <w:szCs w:val="18"/>
    </w:rPr>
  </w:style>
  <w:style w:type="character" w:customStyle="1" w:styleId="Char1">
    <w:name w:val="页眉 Char"/>
    <w:link w:val="a5"/>
    <w:rsid w:val="003F5FDC"/>
    <w:rPr>
      <w:kern w:val="2"/>
      <w:sz w:val="18"/>
      <w:szCs w:val="18"/>
    </w:rPr>
  </w:style>
  <w:style w:type="paragraph" w:styleId="a7">
    <w:name w:val="List Paragraph"/>
    <w:basedOn w:val="a"/>
    <w:uiPriority w:val="34"/>
    <w:qFormat/>
    <w:rsid w:val="003F5FD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柏亚兰</cp:lastModifiedBy>
  <cp:revision>89</cp:revision>
  <cp:lastPrinted>2025-03-04T03:09:00Z</cp:lastPrinted>
  <dcterms:created xsi:type="dcterms:W3CDTF">2018-12-17T06:47:00Z</dcterms:created>
  <dcterms:modified xsi:type="dcterms:W3CDTF">2025-03-12T10:13:00Z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B2C9E01651534247978F4DB8B47039F7_13</vt:lpwstr>
  </property>
</Properties>
</file>