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方正小标宋_GBK" w:hAnsi="方正小标宋_GBK" w:eastAsia="方正小标宋_GBK" w:cs="方正小标宋_GBK"/>
          <w:color w:val="000000" w:themeColor="text1"/>
          <w:sz w:val="44"/>
          <w:szCs w:val="44"/>
        </w:rPr>
      </w:pPr>
      <w:r>
        <w:rPr>
          <w:rFonts w:ascii="方正小标宋_GBK" w:hAnsi="方正小标宋_GBK" w:eastAsia="方正小标宋_GBK" w:cs="方正小标宋_GBK"/>
          <w:bCs/>
          <w:sz w:val="44"/>
          <w:szCs w:val="44"/>
        </w:rPr>
        <w:t>彭水苗族土家族自治县长生镇人民政府20</w:t>
      </w:r>
      <w:r>
        <w:rPr>
          <w:rFonts w:hint="eastAsia" w:ascii="方正小标宋_GBK" w:hAnsi="方正小标宋_GBK" w:eastAsia="方正小标宋_GBK" w:cs="方正小标宋_GBK"/>
          <w:bCs/>
          <w:sz w:val="44"/>
          <w:szCs w:val="44"/>
        </w:rPr>
        <w:t>23</w:t>
      </w:r>
      <w:r>
        <w:rPr>
          <w:rFonts w:ascii="方正小标宋_GBK" w:hAnsi="方正小标宋_GBK" w:eastAsia="方正小标宋_GBK" w:cs="方正小标宋_GBK"/>
          <w:bCs/>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color w:val="000000" w:themeColor="text1"/>
          <w:szCs w:val="32"/>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520"/>
        <w:textAlignment w:val="auto"/>
        <w:rPr>
          <w:rFonts w:ascii="Arial" w:hAnsi="Arial" w:cs="Arial"/>
          <w:color w:val="000000"/>
          <w:sz w:val="32"/>
          <w:szCs w:val="32"/>
        </w:rPr>
      </w:pPr>
      <w:r>
        <w:rPr>
          <w:rFonts w:hint="eastAsia" w:ascii="方正黑体_GBK" w:hAnsi="Arial" w:eastAsia="方正黑体_GBK" w:cs="Arial"/>
          <w:color w:val="000000"/>
          <w:sz w:val="32"/>
          <w:szCs w:val="32"/>
        </w:rPr>
        <w:t>一、总体情况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538"/>
        <w:textAlignment w:val="auto"/>
        <w:rPr>
          <w:rFonts w:ascii="Arial" w:hAnsi="Arial" w:cs="Arial"/>
          <w:color w:val="000000"/>
          <w:sz w:val="32"/>
          <w:szCs w:val="32"/>
        </w:rPr>
      </w:pPr>
      <w:r>
        <w:rPr>
          <w:rFonts w:hint="eastAsia" w:ascii="方正仿宋_GBK" w:hAnsi="Arial" w:cs="Arial"/>
          <w:color w:val="000000"/>
          <w:sz w:val="32"/>
          <w:szCs w:val="32"/>
          <w:shd w:val="clear" w:color="auto" w:fill="FFFFFF"/>
        </w:rPr>
        <w:t>2023年，在县委、县政府的正确领导下，长生镇高度重视政府信息公开工作，全面贯彻落实《中华人民共和国政府信息公开条例》的法定要求，坚持以人民为中心，统筹推进政务公开工作，切实做好2023年度年报编制工作。本报告根据《中华人民共和国政府信息公开条例》要求编制，结合我镇政府信息公开工作实际，认真总结2023年度政府信息公开工作情况撰写。本报告中所列数据的统计日期为2023年1月1日至2023年12月31日。</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6" w:lineRule="exact"/>
        <w:ind w:firstLine="538"/>
        <w:textAlignment w:val="auto"/>
        <w:rPr>
          <w:rFonts w:hint="eastAsia" w:ascii="方正仿宋_GBK" w:hAnsi="方正仿宋_GBK" w:eastAsia="方正仿宋_GBK" w:cs="方正仿宋_GBK"/>
          <w:color w:val="000000"/>
          <w:sz w:val="32"/>
          <w:szCs w:val="32"/>
        </w:rPr>
      </w:pPr>
      <w:r>
        <w:rPr>
          <w:rFonts w:hint="eastAsia" w:ascii="方正楷体_GBK" w:hAnsi="Arial" w:eastAsia="方正楷体_GBK" w:cs="Arial"/>
          <w:color w:val="000000"/>
          <w:sz w:val="32"/>
          <w:szCs w:val="32"/>
        </w:rPr>
        <w:t>（一）主动公开</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shd w:val="clear" w:color="auto" w:fill="FFFFFF"/>
        </w:rPr>
        <w:t>2023年度，按照上级相关要求，我镇不断扩大政府信息公开范围，细化公开内容。长生镇在政府门户网站主动公开政府信息94条，</w:t>
      </w:r>
      <w:r>
        <w:rPr>
          <w:rFonts w:hint="eastAsia" w:ascii="方正仿宋_GBK" w:hAnsi="方正仿宋_GBK" w:eastAsia="方正仿宋_GBK" w:cs="方正仿宋_GBK"/>
          <w:color w:val="343434"/>
          <w:sz w:val="32"/>
          <w:szCs w:val="32"/>
          <w:shd w:val="clear" w:color="auto" w:fill="FFFFFF"/>
        </w:rPr>
        <w:t>包括政策文件、基层政务公开、重大民生信息等内容。</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538"/>
        <w:textAlignment w:val="auto"/>
        <w:rPr>
          <w:rFonts w:hint="eastAsia" w:ascii="方正仿宋_GBK" w:hAnsi="方正仿宋_GBK" w:eastAsia="方正仿宋_GBK" w:cs="方正仿宋_GBK"/>
          <w:color w:val="000000"/>
          <w:sz w:val="32"/>
          <w:szCs w:val="32"/>
        </w:rPr>
      </w:pPr>
      <w:r>
        <w:rPr>
          <w:rFonts w:hint="eastAsia" w:ascii="方正楷体_GBK" w:hAnsi="Arial" w:eastAsia="方正楷体_GBK" w:cs="Arial"/>
          <w:color w:val="000000"/>
          <w:sz w:val="32"/>
          <w:szCs w:val="32"/>
        </w:rPr>
        <w:t>（二）依申请公开</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shd w:val="clear" w:color="auto" w:fill="FFFFFF"/>
        </w:rPr>
        <w:t>认真落实政府信息依申请公开管理要求，修订《彭水苗族土家族自治县长生镇人民政府信息公开指南（2023年版）》，便于公民、法人和其他组织获取本机关政府信息。2023年度，长生镇未收到政府信息公开申请。</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538"/>
        <w:textAlignment w:val="auto"/>
        <w:rPr>
          <w:rFonts w:hint="eastAsia" w:ascii="方正仿宋_GBK" w:hAnsi="方正仿宋_GBK" w:eastAsia="方正仿宋_GBK" w:cs="方正仿宋_GBK"/>
          <w:color w:val="000000"/>
          <w:sz w:val="32"/>
          <w:szCs w:val="32"/>
        </w:rPr>
      </w:pPr>
      <w:r>
        <w:rPr>
          <w:rFonts w:hint="eastAsia" w:ascii="方正楷体_GBK" w:hAnsi="Arial" w:eastAsia="方正楷体_GBK" w:cs="Arial"/>
          <w:color w:val="000000"/>
          <w:sz w:val="32"/>
          <w:szCs w:val="32"/>
        </w:rPr>
        <w:t>（三）政府信息管理</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shd w:val="clear" w:color="auto" w:fill="FFFFFF"/>
        </w:rPr>
        <w:t>2023年度，我镇进一步调整优化政府信息公开工作机制，已形成主要领导亲自抓，分管领导具体抓，党政办公室为信息公开工作主管部门，并指定专门人员管理此项工作，确保相关情况和数据应报尽报。扎实推进政务公开标准化规范化建设，严格落实“三审三校”制度、坚持“先审查后公开”原则，确保准确、及时、真实地发布信息。</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6" w:lineRule="exact"/>
        <w:ind w:firstLine="538"/>
        <w:textAlignment w:val="auto"/>
        <w:rPr>
          <w:rFonts w:hint="eastAsia" w:ascii="方正仿宋_GBK" w:hAnsi="方正仿宋_GBK" w:eastAsia="方正仿宋_GBK" w:cs="方正仿宋_GBK"/>
          <w:color w:val="000000"/>
          <w:sz w:val="32"/>
          <w:szCs w:val="32"/>
        </w:rPr>
      </w:pPr>
      <w:r>
        <w:rPr>
          <w:rFonts w:hint="eastAsia" w:ascii="方正楷体_GBK" w:hAnsi="Arial" w:eastAsia="方正楷体_GBK" w:cs="Arial"/>
          <w:color w:val="000000"/>
          <w:sz w:val="32"/>
          <w:szCs w:val="32"/>
        </w:rPr>
        <w:t>（四）政府信息公开平台建设</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shd w:val="clear" w:color="auto" w:fill="FFFFFF"/>
        </w:rPr>
        <w:t>我镇高度重视县政府网站及重庆市政府网站集约化平台工作落实。不断拓展信息公开渠道，完成了政务公开专区建设并落实专人定期维护，持续更新政府信息公开栏内容，确保政府信息透明。目前公开方式主要有：一是通过彭水苗族土家族自治县长生镇人民政府网站（网址：</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"http://www.psx.gov.cn/zfjz/hjjdbsc_83802/%EF%BC%89" </w:instrText>
      </w:r>
      <w:r>
        <w:rPr>
          <w:rFonts w:hint="eastAsia" w:ascii="方正仿宋_GBK" w:hAnsi="方正仿宋_GBK" w:eastAsia="方正仿宋_GBK" w:cs="方正仿宋_GBK"/>
          <w:sz w:val="32"/>
          <w:szCs w:val="32"/>
        </w:rPr>
        <w:fldChar w:fldCharType="separate"/>
      </w:r>
      <w:r>
        <w:rPr>
          <w:rStyle w:val="16"/>
          <w:rFonts w:hint="eastAsia" w:ascii="方正仿宋_GBK" w:hAnsi="方正仿宋_GBK" w:eastAsia="方正仿宋_GBK" w:cs="方正仿宋_GBK"/>
          <w:sz w:val="32"/>
          <w:szCs w:val="32"/>
          <w:shd w:val="clear" w:color="auto" w:fill="FFFFFF"/>
        </w:rPr>
        <w:t>http://www.psx.gov.cn/zfjz/hjjdbsc_83802/）</w:t>
      </w:r>
      <w:r>
        <w:rPr>
          <w:rStyle w:val="16"/>
          <w:rFonts w:hint="eastAsia" w:ascii="方正仿宋_GBK" w:hAnsi="方正仿宋_GBK" w:eastAsia="方正仿宋_GBK" w:cs="方正仿宋_GBK"/>
          <w:sz w:val="32"/>
          <w:szCs w:val="32"/>
          <w:shd w:val="clear" w:color="auto" w:fill="FFFFFF"/>
        </w:rPr>
        <w:fldChar w:fldCharType="end"/>
      </w:r>
      <w:r>
        <w:rPr>
          <w:rFonts w:hint="eastAsia" w:ascii="方正仿宋_GBK" w:hAnsi="方正仿宋_GBK" w:eastAsia="方正仿宋_GBK" w:cs="方正仿宋_GBK"/>
          <w:color w:val="000000"/>
          <w:sz w:val="32"/>
          <w:szCs w:val="32"/>
          <w:shd w:val="clear" w:color="auto" w:fill="FFFFFF"/>
        </w:rPr>
        <w:t>公开政府信息；二是通过本镇政务服务大厅设置的政务公开专区、村（社区）、网格公示栏公开政务信息。全年未发生信息泄露、信息被篡改等网络安全事件。</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526"/>
        <w:textAlignment w:val="auto"/>
        <w:rPr>
          <w:rFonts w:hint="eastAsia" w:ascii="方正仿宋_GBK" w:hAnsi="方正仿宋_GBK" w:eastAsia="方正仿宋_GBK" w:cs="方正仿宋_GBK"/>
          <w:color w:val="000000"/>
          <w:sz w:val="32"/>
          <w:szCs w:val="32"/>
        </w:rPr>
      </w:pPr>
      <w:r>
        <w:rPr>
          <w:rFonts w:hint="eastAsia" w:ascii="方正楷体_GBK" w:hAnsi="Arial" w:eastAsia="方正楷体_GBK" w:cs="Arial"/>
          <w:color w:val="000000"/>
          <w:sz w:val="32"/>
          <w:szCs w:val="32"/>
        </w:rPr>
        <w:t>（五）监督保障情况</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shd w:val="clear" w:color="auto" w:fill="FFFFFF"/>
        </w:rPr>
        <w:t>一是制定政务公开工作年度考评标准，将政务公开工作考评纳入科室年度绩效考核范围，不断压实责任，推进工作落地。二是持续强化政府公开信息的日常检查、更新和维护，发现问题及时整改确保政府信息公开各项工作落实落细。三是创新公开形式。在镇政务服务大厅开设政务公开专区，以群众需求为导向集中提供长生镇相关政策文件、政策解读等纸质文档。打造集政策解读、咨询、问答于一体的多功能政务公开专区，提升政务公开信息化水平。</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48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二、主动公开政府信息情况</w:t>
      </w:r>
    </w:p>
    <w:tbl>
      <w:tblPr>
        <w:tblStyle w:val="12"/>
        <w:tblW w:w="0" w:type="auto"/>
        <w:jc w:val="center"/>
        <w:tblLayout w:type="autofit"/>
        <w:tblCellMar>
          <w:top w:w="63" w:type="dxa"/>
          <w:left w:w="125" w:type="dxa"/>
          <w:bottom w:w="63" w:type="dxa"/>
          <w:right w:w="125" w:type="dxa"/>
        </w:tblCellMar>
      </w:tblPr>
      <w:tblGrid>
        <w:gridCol w:w="2098"/>
        <w:gridCol w:w="2098"/>
        <w:gridCol w:w="2098"/>
        <w:gridCol w:w="2112"/>
      </w:tblGrid>
      <w:tr>
        <w:tblPrEx>
          <w:tblCellMar>
            <w:top w:w="63" w:type="dxa"/>
            <w:left w:w="125" w:type="dxa"/>
            <w:bottom w:w="63" w:type="dxa"/>
            <w:right w:w="125" w:type="dxa"/>
          </w:tblCellMar>
        </w:tblPrEx>
        <w:trPr>
          <w:trHeight w:val="345" w:hRule="atLeast"/>
          <w:jc w:val="center"/>
        </w:trPr>
        <w:tc>
          <w:tcPr>
            <w:tcW w:w="9735" w:type="dxa"/>
            <w:gridSpan w:val="4"/>
            <w:tcBorders>
              <w:top w:val="single" w:color="auto" w:sz="4" w:space="0"/>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ascii="宋体" w:hAnsi="宋体" w:eastAsia="宋体" w:cs="宋体"/>
                <w:sz w:val="16"/>
                <w:szCs w:val="16"/>
              </w:rPr>
              <w:t>第</w:t>
            </w:r>
            <w:r>
              <w:rPr>
                <w:rFonts w:hint="eastAsia" w:ascii="___WRD_EMBED_SUB_38" w:hAnsi="___WRD_EMBED_SUB_38" w:eastAsia="___WRD_EMBED_SUB_38" w:cs="___WRD_EMBED_SUB_38"/>
                <w:sz w:val="16"/>
                <w:szCs w:val="16"/>
              </w:rPr>
              <w:t>二</w:t>
            </w:r>
            <w:r>
              <w:rPr>
                <w:rFonts w:hint="eastAsia" w:ascii="宋体" w:hAnsi="宋体" w:eastAsia="宋体" w:cs="宋体"/>
                <w:sz w:val="16"/>
                <w:szCs w:val="16"/>
              </w:rPr>
              <w:t>十</w:t>
            </w:r>
            <w:r>
              <w:rPr>
                <w:rFonts w:hint="eastAsia" w:ascii="___WRD_EMBED_SUB_38" w:hAnsi="___WRD_EMBED_SUB_38" w:eastAsia="___WRD_EMBED_SUB_38" w:cs="___WRD_EMBED_SUB_38"/>
                <w:sz w:val="16"/>
                <w:szCs w:val="16"/>
              </w:rPr>
              <w:t>条</w:t>
            </w:r>
            <w:r>
              <w:rPr>
                <w:rFonts w:hint="eastAsia" w:ascii="宋体" w:hAnsi="宋体" w:eastAsia="宋体" w:cs="宋体"/>
                <w:sz w:val="16"/>
                <w:szCs w:val="16"/>
              </w:rPr>
              <w:t>第</w:t>
            </w:r>
            <w:r>
              <w:rPr>
                <w:rFonts w:hint="eastAsia" w:ascii="___WRD_EMBED_SUB_38" w:hAnsi="___WRD_EMBED_SUB_38" w:eastAsia="___WRD_EMBED_SUB_38" w:cs="___WRD_EMBED_SUB_38"/>
                <w:sz w:val="16"/>
                <w:szCs w:val="16"/>
              </w:rPr>
              <w:t>（一）项</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sz w:val="16"/>
                <w:szCs w:val="16"/>
              </w:rPr>
              <w:t>信息内容</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sz w:val="16"/>
                <w:szCs w:val="16"/>
              </w:rPr>
              <w:t>本年制发件数</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sz w:val="16"/>
                <w:szCs w:val="16"/>
              </w:rPr>
              <w:t>本年</w:t>
            </w:r>
            <w:r>
              <w:rPr>
                <w:rFonts w:hint="eastAsia" w:ascii="宋体" w:hAnsi="宋体" w:eastAsia="宋体" w:cs="宋体"/>
                <w:sz w:val="16"/>
                <w:szCs w:val="16"/>
              </w:rPr>
              <w:t>废止</w:t>
            </w:r>
            <w:r>
              <w:rPr>
                <w:rFonts w:hint="eastAsia" w:ascii="___WRD_EMBED_SUB_38" w:hAnsi="___WRD_EMBED_SUB_38" w:eastAsia="___WRD_EMBED_SUB_38" w:cs="___WRD_EMBED_SUB_38"/>
                <w:sz w:val="16"/>
                <w:szCs w:val="16"/>
              </w:rPr>
              <w:t>件数</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sz w:val="16"/>
                <w:szCs w:val="16"/>
              </w:rPr>
              <w:t>现行有效件数</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rFonts w:hint="eastAsia"/>
                <w:sz w:val="16"/>
                <w:szCs w:val="16"/>
              </w:rPr>
              <w:t>规章</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t>　　</w:t>
            </w:r>
            <w:r>
              <w:rPr>
                <w:sz w:val="16"/>
                <w:szCs w:val="16"/>
              </w:rPr>
              <w:t>0</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sz w:val="16"/>
                <w:szCs w:val="16"/>
              </w:rPr>
              <w:t> </w:t>
            </w:r>
            <w:r>
              <w:t>　</w:t>
            </w:r>
            <w:r>
              <w:rPr>
                <w:sz w:val="16"/>
                <w:szCs w:val="16"/>
              </w:rPr>
              <w:t>0</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sz w:val="18"/>
                <w:szCs w:val="18"/>
              </w:rPr>
              <w:t> 0</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rFonts w:hint="eastAsia"/>
                <w:sz w:val="16"/>
                <w:szCs w:val="16"/>
              </w:rPr>
              <w:t>行政规范性文件</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t>　　</w:t>
            </w:r>
            <w:r>
              <w:rPr>
                <w:sz w:val="16"/>
                <w:szCs w:val="16"/>
              </w:rPr>
              <w:t>0</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sz w:val="16"/>
                <w:szCs w:val="16"/>
              </w:rPr>
              <w:t> </w:t>
            </w:r>
            <w:r>
              <w:t>　</w:t>
            </w:r>
            <w:r>
              <w:rPr>
                <w:sz w:val="16"/>
                <w:szCs w:val="16"/>
              </w:rPr>
              <w:t>0</w:t>
            </w:r>
          </w:p>
        </w:tc>
        <w:tc>
          <w:tcPr>
            <w:tcW w:w="243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sz w:val="18"/>
                <w:szCs w:val="18"/>
              </w:rPr>
              <w:t> 0</w:t>
            </w:r>
          </w:p>
        </w:tc>
      </w:tr>
      <w:tr>
        <w:tblPrEx>
          <w:tblCellMar>
            <w:top w:w="63" w:type="dxa"/>
            <w:left w:w="125" w:type="dxa"/>
            <w:bottom w:w="63" w:type="dxa"/>
            <w:right w:w="125" w:type="dxa"/>
          </w:tblCellMar>
        </w:tblPrEx>
        <w:trPr>
          <w:trHeight w:val="345" w:hRule="atLeast"/>
          <w:jc w:val="center"/>
        </w:trPr>
        <w:tc>
          <w:tcPr>
            <w:tcW w:w="9735" w:type="dxa"/>
            <w:gridSpan w:val="4"/>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ascii="方正仿宋_GBK" w:hAnsi="方正仿宋_GBK" w:eastAsia="方正仿宋_GBK" w:cs="方正仿宋_GBK"/>
                <w:sz w:val="16"/>
                <w:szCs w:val="16"/>
              </w:rPr>
              <w:t>第二十条第（五）项</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sz w:val="16"/>
                <w:szCs w:val="16"/>
              </w:rPr>
              <w:t>信息内容</w:t>
            </w:r>
          </w:p>
        </w:tc>
        <w:tc>
          <w:tcPr>
            <w:tcW w:w="7305" w:type="dxa"/>
            <w:gridSpan w:val="3"/>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ascii="方正仿宋_GBK" w:hAnsi="方正仿宋_GBK" w:eastAsia="方正仿宋_GBK" w:cs="方正仿宋_GBK"/>
                <w:sz w:val="16"/>
                <w:szCs w:val="16"/>
              </w:rPr>
              <w:t>本年处理决定数量</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rFonts w:hint="eastAsia"/>
                <w:sz w:val="16"/>
                <w:szCs w:val="16"/>
              </w:rPr>
              <w:t>行政许可</w:t>
            </w:r>
          </w:p>
        </w:tc>
        <w:tc>
          <w:tcPr>
            <w:tcW w:w="7305" w:type="dxa"/>
            <w:gridSpan w:val="3"/>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sz w:val="18"/>
                <w:szCs w:val="18"/>
              </w:rPr>
              <w:t>94</w:t>
            </w:r>
          </w:p>
        </w:tc>
      </w:tr>
      <w:tr>
        <w:tblPrEx>
          <w:tblCellMar>
            <w:top w:w="63" w:type="dxa"/>
            <w:left w:w="125" w:type="dxa"/>
            <w:bottom w:w="63" w:type="dxa"/>
            <w:right w:w="125" w:type="dxa"/>
          </w:tblCellMar>
        </w:tblPrEx>
        <w:trPr>
          <w:trHeight w:val="345" w:hRule="atLeast"/>
          <w:jc w:val="center"/>
        </w:trPr>
        <w:tc>
          <w:tcPr>
            <w:tcW w:w="9735" w:type="dxa"/>
            <w:gridSpan w:val="4"/>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sz w:val="16"/>
                <w:szCs w:val="16"/>
              </w:rPr>
              <w:t>第二十条第（六）项</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sz w:val="16"/>
                <w:szCs w:val="16"/>
              </w:rPr>
              <w:t>信息内容</w:t>
            </w:r>
          </w:p>
        </w:tc>
        <w:tc>
          <w:tcPr>
            <w:tcW w:w="7305" w:type="dxa"/>
            <w:gridSpan w:val="3"/>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sz w:val="16"/>
                <w:szCs w:val="16"/>
              </w:rPr>
              <w:t>本年处理决定数量</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rFonts w:hint="eastAsia"/>
                <w:sz w:val="16"/>
                <w:szCs w:val="16"/>
              </w:rPr>
              <w:t>行政</w:t>
            </w:r>
            <w:r>
              <w:rPr>
                <w:rFonts w:hint="eastAsia" w:ascii="宋体" w:hAnsi="宋体" w:eastAsia="宋体" w:cs="宋体"/>
                <w:sz w:val="16"/>
                <w:szCs w:val="16"/>
              </w:rPr>
              <w:t>处罚</w:t>
            </w:r>
          </w:p>
        </w:tc>
        <w:tc>
          <w:tcPr>
            <w:tcW w:w="7305" w:type="dxa"/>
            <w:gridSpan w:val="3"/>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sz w:val="16"/>
                <w:szCs w:val="16"/>
              </w:rPr>
              <w:t>19</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rFonts w:hint="eastAsia"/>
                <w:sz w:val="16"/>
                <w:szCs w:val="16"/>
              </w:rPr>
              <w:t>行政强制</w:t>
            </w:r>
          </w:p>
        </w:tc>
        <w:tc>
          <w:tcPr>
            <w:tcW w:w="7305" w:type="dxa"/>
            <w:gridSpan w:val="3"/>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sz w:val="16"/>
                <w:szCs w:val="16"/>
              </w:rPr>
              <w:t>0</w:t>
            </w:r>
          </w:p>
        </w:tc>
      </w:tr>
      <w:tr>
        <w:tblPrEx>
          <w:tblCellMar>
            <w:top w:w="63" w:type="dxa"/>
            <w:left w:w="125" w:type="dxa"/>
            <w:bottom w:w="63" w:type="dxa"/>
            <w:right w:w="125" w:type="dxa"/>
          </w:tblCellMar>
        </w:tblPrEx>
        <w:trPr>
          <w:trHeight w:val="345" w:hRule="atLeast"/>
          <w:jc w:val="center"/>
        </w:trPr>
        <w:tc>
          <w:tcPr>
            <w:tcW w:w="9735" w:type="dxa"/>
            <w:gridSpan w:val="4"/>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ascii="方正仿宋_GBK" w:hAnsi="方正仿宋_GBK" w:eastAsia="方正仿宋_GBK" w:cs="方正仿宋_GBK"/>
                <w:sz w:val="16"/>
                <w:szCs w:val="16"/>
              </w:rPr>
              <w:t>第二十条第（八）项</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sz w:val="16"/>
                <w:szCs w:val="16"/>
              </w:rPr>
              <w:t>信息内容</w:t>
            </w:r>
          </w:p>
        </w:tc>
        <w:tc>
          <w:tcPr>
            <w:tcW w:w="7305" w:type="dxa"/>
            <w:gridSpan w:val="3"/>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ascii="方正仿宋_GBK" w:hAnsi="方正仿宋_GBK" w:eastAsia="方正仿宋_GBK" w:cs="方正仿宋_GBK"/>
                <w:sz w:val="16"/>
                <w:szCs w:val="16"/>
              </w:rPr>
              <w:t>本年收费金额（单位：万元）</w:t>
            </w:r>
          </w:p>
        </w:tc>
      </w:tr>
      <w:tr>
        <w:tblPrEx>
          <w:tblCellMar>
            <w:top w:w="63" w:type="dxa"/>
            <w:left w:w="125" w:type="dxa"/>
            <w:bottom w:w="63" w:type="dxa"/>
            <w:right w:w="125" w:type="dxa"/>
          </w:tblCellMar>
        </w:tblPrEx>
        <w:trPr>
          <w:trHeight w:val="345" w:hRule="atLeast"/>
          <w:jc w:val="center"/>
        </w:trPr>
        <w:tc>
          <w:tcPr>
            <w:tcW w:w="2430" w:type="dxa"/>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pPr>
            <w:r>
              <w:rPr>
                <w:rFonts w:hint="eastAsia"/>
                <w:sz w:val="16"/>
                <w:szCs w:val="16"/>
              </w:rPr>
              <w:t>行政事业</w:t>
            </w:r>
            <w:r>
              <w:rPr>
                <w:rFonts w:hint="eastAsia" w:ascii="方正仿宋_GBK" w:hAnsi="方正仿宋_GBK" w:eastAsia="方正仿宋_GBK" w:cs="方正仿宋_GBK"/>
                <w:sz w:val="16"/>
                <w:szCs w:val="16"/>
              </w:rPr>
              <w:t>性收费</w:t>
            </w:r>
          </w:p>
        </w:tc>
        <w:tc>
          <w:tcPr>
            <w:tcW w:w="7305" w:type="dxa"/>
            <w:gridSpan w:val="3"/>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sz w:val="20"/>
              </w:rPr>
              <w:t>0</w:t>
            </w:r>
          </w:p>
        </w:tc>
      </w:tr>
    </w:tbl>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482"/>
        <w:textAlignment w:val="auto"/>
        <w:rPr>
          <w:rFonts w:ascii="Arial" w:hAnsi="Arial" w:cs="Arial"/>
          <w:color w:val="000000"/>
          <w:sz w:val="32"/>
          <w:szCs w:val="32"/>
        </w:rPr>
      </w:pPr>
      <w:r>
        <w:rPr>
          <w:rFonts w:hint="eastAsia" w:ascii="方正黑体_GBK" w:hAnsi="Arial" w:eastAsia="方正黑体_GBK" w:cs="Arial"/>
          <w:color w:val="000000"/>
          <w:sz w:val="32"/>
          <w:szCs w:val="32"/>
        </w:rPr>
        <w:t>三、收到和处理政府信息公开申请情况</w:t>
      </w:r>
    </w:p>
    <w:tbl>
      <w:tblPr>
        <w:tblStyle w:val="12"/>
        <w:tblW w:w="0" w:type="auto"/>
        <w:jc w:val="center"/>
        <w:tblLayout w:type="autofit"/>
        <w:tblCellMar>
          <w:top w:w="63" w:type="dxa"/>
          <w:left w:w="125" w:type="dxa"/>
          <w:bottom w:w="63" w:type="dxa"/>
          <w:right w:w="125" w:type="dxa"/>
        </w:tblCellMar>
      </w:tblPr>
      <w:tblGrid>
        <w:gridCol w:w="683"/>
        <w:gridCol w:w="858"/>
        <w:gridCol w:w="2604"/>
        <w:gridCol w:w="597"/>
        <w:gridCol w:w="617"/>
        <w:gridCol w:w="617"/>
        <w:gridCol w:w="617"/>
        <w:gridCol w:w="617"/>
        <w:gridCol w:w="617"/>
        <w:gridCol w:w="617"/>
      </w:tblGrid>
      <w:tr>
        <w:tblPrEx>
          <w:tblCellMar>
            <w:top w:w="63" w:type="dxa"/>
            <w:left w:w="125" w:type="dxa"/>
            <w:bottom w:w="63" w:type="dxa"/>
            <w:right w:w="125" w:type="dxa"/>
          </w:tblCellMar>
        </w:tblPrEx>
        <w:trPr>
          <w:jc w:val="center"/>
        </w:trPr>
        <w:tc>
          <w:tcPr>
            <w:tcW w:w="5145" w:type="dxa"/>
            <w:gridSpan w:val="3"/>
            <w:vMerge w:val="restart"/>
            <w:tcBorders>
              <w:top w:val="single" w:color="auto" w:sz="4" w:space="0"/>
              <w:left w:val="single" w:color="auto" w:sz="4" w:space="0"/>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pPr>
            <w:r>
              <w:rPr>
                <w:rFonts w:hint="eastAsia" w:ascii="楷体" w:hAnsi="楷体" w:eastAsia="楷体"/>
                <w:color w:val="000000"/>
                <w:sz w:val="16"/>
                <w:szCs w:val="16"/>
              </w:rPr>
              <w:t>（本列数据的勾稽关系为：第一项加第二项之和，等于第三项加第四项之和）</w:t>
            </w:r>
          </w:p>
        </w:tc>
        <w:tc>
          <w:tcPr>
            <w:tcW w:w="4995" w:type="dxa"/>
            <w:gridSpan w:val="7"/>
            <w:tcBorders>
              <w:top w:val="single" w:color="auto" w:sz="4" w:space="0"/>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color w:val="000000"/>
                <w:sz w:val="16"/>
                <w:szCs w:val="16"/>
              </w:rPr>
              <w:t>申请人情况</w:t>
            </w:r>
          </w:p>
        </w:tc>
      </w:tr>
      <w:tr>
        <w:tblPrEx>
          <w:tblCellMar>
            <w:top w:w="63" w:type="dxa"/>
            <w:left w:w="125" w:type="dxa"/>
            <w:bottom w:w="63" w:type="dxa"/>
            <w:right w:w="125" w:type="dxa"/>
          </w:tblCellMar>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20" w:type="dxa"/>
            <w:vMerge w:val="restart"/>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rFonts w:hint="eastAsia"/>
                <w:color w:val="000000"/>
                <w:sz w:val="16"/>
                <w:szCs w:val="16"/>
              </w:rPr>
              <w:t>自然人</w:t>
            </w:r>
          </w:p>
        </w:tc>
        <w:tc>
          <w:tcPr>
            <w:tcW w:w="3570" w:type="dxa"/>
            <w:gridSpan w:val="5"/>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rFonts w:hint="eastAsia"/>
                <w:color w:val="000000"/>
                <w:sz w:val="16"/>
                <w:szCs w:val="16"/>
              </w:rPr>
              <w:t>法人</w:t>
            </w:r>
            <w:r>
              <w:rPr>
                <w:rFonts w:hint="eastAsia" w:ascii="宋体" w:hAnsi="宋体" w:eastAsia="宋体" w:cs="宋体"/>
                <w:color w:val="000000"/>
                <w:sz w:val="16"/>
                <w:szCs w:val="16"/>
              </w:rPr>
              <w:t>或</w:t>
            </w:r>
            <w:r>
              <w:rPr>
                <w:rFonts w:hint="eastAsia" w:ascii="___WRD_EMBED_SUB_38" w:hAnsi="___WRD_EMBED_SUB_38" w:eastAsia="___WRD_EMBED_SUB_38" w:cs="___WRD_EMBED_SUB_38"/>
                <w:color w:val="000000"/>
                <w:sz w:val="16"/>
                <w:szCs w:val="16"/>
              </w:rPr>
              <w:t>其他组织</w:t>
            </w:r>
          </w:p>
        </w:tc>
        <w:tc>
          <w:tcPr>
            <w:tcW w:w="720" w:type="dxa"/>
            <w:vMerge w:val="restart"/>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rFonts w:hint="eastAsia"/>
                <w:color w:val="000000"/>
                <w:sz w:val="16"/>
                <w:szCs w:val="16"/>
              </w:rPr>
              <w:t>总计</w:t>
            </w:r>
          </w:p>
        </w:tc>
      </w:tr>
      <w:tr>
        <w:tblPrEx>
          <w:tblCellMar>
            <w:top w:w="63" w:type="dxa"/>
            <w:left w:w="125" w:type="dxa"/>
            <w:bottom w:w="63" w:type="dxa"/>
            <w:right w:w="125" w:type="dxa"/>
          </w:tblCellMar>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nil"/>
              <w:bottom w:val="single" w:color="auto" w:sz="4" w:space="0"/>
              <w:right w:val="single" w:color="auto" w:sz="4" w:space="0"/>
            </w:tcBorders>
            <w:vAlign w:val="center"/>
          </w:tcPr>
          <w:p>
            <w:pPr>
              <w:rPr>
                <w:rFonts w:ascii="宋体" w:hAnsi="宋体" w:eastAsia="宋体" w:cs="宋体"/>
                <w:sz w:val="24"/>
                <w:szCs w:val="24"/>
              </w:rPr>
            </w:pPr>
          </w:p>
        </w:tc>
        <w:tc>
          <w:tcPr>
            <w:tcW w:w="720"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rFonts w:hint="eastAsia" w:ascii="宋体" w:hAnsi="宋体" w:eastAsia="宋体" w:cs="宋体"/>
                <w:color w:val="000000"/>
                <w:sz w:val="16"/>
                <w:szCs w:val="16"/>
              </w:rPr>
              <w:t>商</w:t>
            </w:r>
            <w:r>
              <w:rPr>
                <w:rFonts w:hint="eastAsia" w:ascii="___WRD_EMBED_SUB_38" w:hAnsi="___WRD_EMBED_SUB_38" w:eastAsia="___WRD_EMBED_SUB_38" w:cs="___WRD_EMBED_SUB_38"/>
                <w:color w:val="000000"/>
                <w:sz w:val="16"/>
                <w:szCs w:val="16"/>
              </w:rPr>
              <w:t>业</w:t>
            </w:r>
          </w:p>
          <w:p>
            <w:pPr>
              <w:pStyle w:val="11"/>
              <w:wordWrap w:val="0"/>
              <w:spacing w:beforeAutospacing="0" w:afterAutospacing="0" w:line="360" w:lineRule="atLeast"/>
              <w:jc w:val="center"/>
            </w:pPr>
            <w:r>
              <w:rPr>
                <w:rFonts w:hint="eastAsia" w:ascii="宋体" w:hAnsi="宋体" w:eastAsia="宋体" w:cs="宋体"/>
                <w:color w:val="000000"/>
                <w:sz w:val="16"/>
                <w:szCs w:val="16"/>
              </w:rPr>
              <w:t>企</w:t>
            </w:r>
            <w:r>
              <w:rPr>
                <w:rFonts w:hint="eastAsia" w:ascii="___WRD_EMBED_SUB_38" w:hAnsi="___WRD_EMBED_SUB_38" w:eastAsia="___WRD_EMBED_SUB_38" w:cs="___WRD_EMBED_SUB_38"/>
                <w:color w:val="000000"/>
                <w:sz w:val="16"/>
                <w:szCs w:val="16"/>
              </w:rPr>
              <w:t>业</w:t>
            </w:r>
          </w:p>
        </w:tc>
        <w:tc>
          <w:tcPr>
            <w:tcW w:w="720"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rFonts w:hint="eastAsia"/>
                <w:color w:val="000000"/>
                <w:sz w:val="16"/>
                <w:szCs w:val="16"/>
              </w:rPr>
              <w:t>科研</w:t>
            </w:r>
          </w:p>
          <w:p>
            <w:pPr>
              <w:pStyle w:val="11"/>
              <w:wordWrap w:val="0"/>
              <w:spacing w:beforeAutospacing="0" w:afterAutospacing="0" w:line="360" w:lineRule="atLeast"/>
              <w:jc w:val="center"/>
            </w:pPr>
            <w:r>
              <w:rPr>
                <w:rFonts w:hint="eastAsia"/>
                <w:color w:val="000000"/>
                <w:sz w:val="16"/>
                <w:szCs w:val="16"/>
              </w:rPr>
              <w:t>机</w:t>
            </w:r>
            <w:r>
              <w:rPr>
                <w:rFonts w:hint="eastAsia" w:ascii="宋体" w:hAnsi="宋体" w:eastAsia="宋体" w:cs="宋体"/>
                <w:color w:val="000000"/>
                <w:sz w:val="16"/>
                <w:szCs w:val="16"/>
              </w:rPr>
              <w:t>构</w:t>
            </w:r>
          </w:p>
        </w:tc>
        <w:tc>
          <w:tcPr>
            <w:tcW w:w="720"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rFonts w:hint="eastAsia"/>
                <w:color w:val="000000"/>
                <w:sz w:val="16"/>
                <w:szCs w:val="16"/>
              </w:rPr>
              <w:t>社会公</w:t>
            </w:r>
            <w:r>
              <w:rPr>
                <w:rFonts w:hint="eastAsia" w:ascii="宋体" w:hAnsi="宋体" w:eastAsia="宋体" w:cs="宋体"/>
                <w:color w:val="000000"/>
                <w:sz w:val="16"/>
                <w:szCs w:val="16"/>
              </w:rPr>
              <w:t>益</w:t>
            </w:r>
            <w:r>
              <w:rPr>
                <w:rFonts w:hint="eastAsia" w:ascii="___WRD_EMBED_SUB_38" w:hAnsi="___WRD_EMBED_SUB_38" w:eastAsia="___WRD_EMBED_SUB_38" w:cs="___WRD_EMBED_SUB_38"/>
                <w:color w:val="000000"/>
                <w:sz w:val="16"/>
                <w:szCs w:val="16"/>
              </w:rPr>
              <w:t>组织</w:t>
            </w:r>
          </w:p>
        </w:tc>
        <w:tc>
          <w:tcPr>
            <w:tcW w:w="720"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rFonts w:hint="eastAsia"/>
                <w:color w:val="000000"/>
                <w:sz w:val="16"/>
                <w:szCs w:val="16"/>
              </w:rPr>
              <w:t>法</w:t>
            </w:r>
            <w:r>
              <w:rPr>
                <w:rFonts w:hint="eastAsia" w:ascii="宋体" w:hAnsi="宋体" w:eastAsia="宋体" w:cs="宋体"/>
                <w:color w:val="000000"/>
                <w:sz w:val="16"/>
                <w:szCs w:val="16"/>
              </w:rPr>
              <w:t>律</w:t>
            </w:r>
            <w:r>
              <w:rPr>
                <w:rFonts w:hint="eastAsia" w:ascii="___WRD_EMBED_SUB_38" w:hAnsi="___WRD_EMBED_SUB_38" w:eastAsia="___WRD_EMBED_SUB_38" w:cs="___WRD_EMBED_SUB_38"/>
                <w:color w:val="000000"/>
                <w:sz w:val="16"/>
                <w:szCs w:val="16"/>
              </w:rPr>
              <w:t>服务机</w:t>
            </w:r>
            <w:r>
              <w:rPr>
                <w:rFonts w:hint="eastAsia" w:ascii="宋体" w:hAnsi="宋体" w:eastAsia="宋体" w:cs="宋体"/>
                <w:color w:val="000000"/>
                <w:sz w:val="16"/>
                <w:szCs w:val="16"/>
              </w:rPr>
              <w:t>构</w:t>
            </w:r>
          </w:p>
        </w:tc>
        <w:tc>
          <w:tcPr>
            <w:tcW w:w="720"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rFonts w:hint="eastAsia"/>
                <w:color w:val="000000"/>
                <w:sz w:val="16"/>
                <w:szCs w:val="16"/>
              </w:rPr>
              <w:t>其他</w:t>
            </w:r>
          </w:p>
        </w:tc>
        <w:tc>
          <w:tcPr>
            <w:tcW w:w="0" w:type="auto"/>
            <w:vMerge w:val="continue"/>
            <w:tcBorders>
              <w:top w:val="nil"/>
              <w:left w:val="nil"/>
              <w:bottom w:val="single" w:color="auto" w:sz="4" w:space="0"/>
              <w:right w:val="single" w:color="auto" w:sz="4" w:space="0"/>
            </w:tcBorders>
            <w:vAlign w:val="center"/>
          </w:tcPr>
          <w:p>
            <w:pPr>
              <w:rPr>
                <w:rFonts w:ascii="宋体" w:hAnsi="宋体" w:eastAsia="宋体" w:cs="宋体"/>
                <w:sz w:val="24"/>
                <w:szCs w:val="24"/>
              </w:rPr>
            </w:pPr>
          </w:p>
        </w:tc>
      </w:tr>
      <w:tr>
        <w:tblPrEx>
          <w:tblCellMar>
            <w:top w:w="63" w:type="dxa"/>
            <w:left w:w="125" w:type="dxa"/>
            <w:bottom w:w="63" w:type="dxa"/>
            <w:right w:w="125" w:type="dxa"/>
          </w:tblCellMar>
        </w:tblPrEx>
        <w:trPr>
          <w:jc w:val="center"/>
        </w:trPr>
        <w:tc>
          <w:tcPr>
            <w:tcW w:w="5145" w:type="dxa"/>
            <w:gridSpan w:val="3"/>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一、本年新收政府信息公开申请数量</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5145" w:type="dxa"/>
            <w:gridSpan w:val="3"/>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二、上年结转政府信息公开申请数量</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780" w:type="dxa"/>
            <w:vMerge w:val="restart"/>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三、本年度办理结果</w:t>
            </w:r>
          </w:p>
        </w:tc>
        <w:tc>
          <w:tcPr>
            <w:tcW w:w="4365" w:type="dxa"/>
            <w:gridSpan w:val="2"/>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（一）予以公开</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4365" w:type="dxa"/>
            <w:gridSpan w:val="2"/>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（二）部分公开（区分处理的，只计这一情形，不计其他情形）</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960" w:type="dxa"/>
            <w:vMerge w:val="restart"/>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（三）不予公开</w:t>
            </w: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1.属于国家秘密</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2.其他法律行政法规禁止公开</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3.危及“三安全一稳定”</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4.保护第三方合法权益</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5.属于三类内部事务信息</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6.属于四类过程性信息</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7.属于行政执法案卷</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8.属于行政查询事项</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960" w:type="dxa"/>
            <w:vMerge w:val="restart"/>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（四）无法提供</w:t>
            </w: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1.本机关不掌握相关政府信息</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2.没有现成信息需要另行制作</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3.补正后申请内容仍不明确</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960" w:type="dxa"/>
            <w:vMerge w:val="restart"/>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（五）不予处理</w:t>
            </w: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1.信访举报投诉类申请</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2.重复申请</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3.要求提供公开出版物</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4.无正当理由大量反复申请</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trHeight w:val="7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5.要求行政机关确认或重新出具已获取信息</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960" w:type="dxa"/>
            <w:vMerge w:val="restart"/>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（六）其他处理</w:t>
            </w:r>
          </w:p>
        </w:tc>
        <w:tc>
          <w:tcPr>
            <w:tcW w:w="3405"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1.申请人无正当理由逾期不补正、行政机关不再处理其政府信息公开申请</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2.申请人逾期未按收费通知要求缴纳费用、行政机关不再处理其政府信息公开申请</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3405"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3.其他</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4365" w:type="dxa"/>
            <w:gridSpan w:val="2"/>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（七）总计</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16"/>
                <w:szCs w:val="16"/>
              </w:rPr>
              <w:t>0</w:t>
            </w:r>
          </w:p>
        </w:tc>
      </w:tr>
      <w:tr>
        <w:tblPrEx>
          <w:tblCellMar>
            <w:top w:w="63" w:type="dxa"/>
            <w:left w:w="125" w:type="dxa"/>
            <w:bottom w:w="63" w:type="dxa"/>
            <w:right w:w="125" w:type="dxa"/>
          </w:tblCellMar>
        </w:tblPrEx>
        <w:trPr>
          <w:jc w:val="center"/>
        </w:trPr>
        <w:tc>
          <w:tcPr>
            <w:tcW w:w="5145" w:type="dxa"/>
            <w:gridSpan w:val="3"/>
            <w:tcBorders>
              <w:top w:val="nil"/>
              <w:left w:val="single" w:color="auto" w:sz="4" w:space="0"/>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四、结转下年度继续办理</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0</w:t>
            </w:r>
          </w:p>
        </w:tc>
        <w:tc>
          <w:tcPr>
            <w:tcW w:w="720" w:type="dxa"/>
            <w:tcBorders>
              <w:top w:val="nil"/>
              <w:left w:val="nil"/>
              <w:bottom w:val="single" w:color="auto" w:sz="4" w:space="0"/>
              <w:right w:val="single" w:color="auto" w:sz="4" w:space="0"/>
            </w:tcBorders>
            <w:tcMar>
              <w:top w:w="0" w:type="dxa"/>
              <w:left w:w="50" w:type="dxa"/>
              <w:bottom w:w="0" w:type="dxa"/>
              <w:right w:w="50" w:type="dxa"/>
            </w:tcMar>
            <w:vAlign w:val="center"/>
          </w:tcPr>
          <w:p>
            <w:pPr>
              <w:pStyle w:val="11"/>
              <w:wordWrap w:val="0"/>
              <w:spacing w:beforeAutospacing="0" w:afterAutospacing="0" w:line="360" w:lineRule="atLeast"/>
              <w:jc w:val="center"/>
            </w:pPr>
            <w:r>
              <w:rPr>
                <w:color w:val="000000"/>
                <w:sz w:val="20"/>
              </w:rPr>
              <w:t>0</w:t>
            </w:r>
          </w:p>
        </w:tc>
      </w:tr>
    </w:tbl>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482"/>
        <w:textAlignment w:val="auto"/>
        <w:rPr>
          <w:rFonts w:ascii="Arial" w:hAnsi="Arial" w:cs="Arial"/>
          <w:color w:val="000000"/>
          <w:sz w:val="32"/>
          <w:szCs w:val="32"/>
        </w:rPr>
      </w:pPr>
      <w:r>
        <w:rPr>
          <w:rFonts w:hint="eastAsia" w:ascii="方正黑体_GBK" w:hAnsi="Arial" w:eastAsia="方正黑体_GBK" w:cs="Arial"/>
          <w:color w:val="000000"/>
          <w:sz w:val="32"/>
          <w:szCs w:val="32"/>
        </w:rPr>
        <w:t>四、政府信息公开行政复议、行政诉讼情况</w:t>
      </w:r>
    </w:p>
    <w:tbl>
      <w:tblPr>
        <w:tblStyle w:val="12"/>
        <w:tblW w:w="0" w:type="auto"/>
        <w:jc w:val="center"/>
        <w:tblLayout w:type="autofit"/>
        <w:tblCellMar>
          <w:top w:w="63" w:type="dxa"/>
          <w:left w:w="125" w:type="dxa"/>
          <w:bottom w:w="63" w:type="dxa"/>
          <w:right w:w="125" w:type="dxa"/>
        </w:tblCellMar>
      </w:tblPr>
      <w:tblGrid>
        <w:gridCol w:w="560"/>
        <w:gridCol w:w="560"/>
        <w:gridCol w:w="560"/>
        <w:gridCol w:w="560"/>
        <w:gridCol w:w="571"/>
        <w:gridCol w:w="560"/>
        <w:gridCol w:w="573"/>
        <w:gridCol w:w="560"/>
        <w:gridCol w:w="560"/>
        <w:gridCol w:w="582"/>
        <w:gridCol w:w="573"/>
        <w:gridCol w:w="560"/>
        <w:gridCol w:w="560"/>
        <w:gridCol w:w="560"/>
        <w:gridCol w:w="583"/>
      </w:tblGrid>
      <w:tr>
        <w:tblPrEx>
          <w:tblCellMar>
            <w:top w:w="63" w:type="dxa"/>
            <w:left w:w="125" w:type="dxa"/>
            <w:bottom w:w="63" w:type="dxa"/>
            <w:right w:w="125" w:type="dxa"/>
          </w:tblCellMar>
        </w:tblPrEx>
        <w:trPr>
          <w:jc w:val="center"/>
        </w:trPr>
        <w:tc>
          <w:tcPr>
            <w:tcW w:w="3240" w:type="dxa"/>
            <w:gridSpan w:val="5"/>
            <w:tcBorders>
              <w:top w:val="single" w:color="auto" w:sz="4" w:space="0"/>
              <w:left w:val="single" w:color="auto" w:sz="4" w:space="0"/>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行政复议</w:t>
            </w:r>
          </w:p>
        </w:tc>
        <w:tc>
          <w:tcPr>
            <w:tcW w:w="6510" w:type="dxa"/>
            <w:gridSpan w:val="10"/>
            <w:tcBorders>
              <w:top w:val="single" w:color="auto" w:sz="4" w:space="0"/>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行政诉讼</w:t>
            </w:r>
          </w:p>
        </w:tc>
      </w:tr>
      <w:tr>
        <w:tblPrEx>
          <w:tblCellMar>
            <w:top w:w="63" w:type="dxa"/>
            <w:left w:w="125" w:type="dxa"/>
            <w:bottom w:w="63" w:type="dxa"/>
            <w:right w:w="125" w:type="dxa"/>
          </w:tblCellMar>
        </w:tblPrEx>
        <w:trPr>
          <w:jc w:val="center"/>
        </w:trPr>
        <w:tc>
          <w:tcPr>
            <w:tcW w:w="645" w:type="dxa"/>
            <w:vMerge w:val="restart"/>
            <w:tcBorders>
              <w:top w:val="nil"/>
              <w:left w:val="single" w:color="auto" w:sz="4" w:space="0"/>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结果维持</w:t>
            </w:r>
          </w:p>
        </w:tc>
        <w:tc>
          <w:tcPr>
            <w:tcW w:w="645" w:type="dxa"/>
            <w:vMerge w:val="restart"/>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结果</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纠正</w:t>
            </w:r>
          </w:p>
        </w:tc>
        <w:tc>
          <w:tcPr>
            <w:tcW w:w="645" w:type="dxa"/>
            <w:vMerge w:val="restart"/>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其他</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结果</w:t>
            </w:r>
          </w:p>
        </w:tc>
        <w:tc>
          <w:tcPr>
            <w:tcW w:w="645" w:type="dxa"/>
            <w:vMerge w:val="restart"/>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尚未</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审结</w:t>
            </w:r>
          </w:p>
        </w:tc>
        <w:tc>
          <w:tcPr>
            <w:tcW w:w="645" w:type="dxa"/>
            <w:vMerge w:val="restart"/>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总计</w:t>
            </w:r>
          </w:p>
        </w:tc>
        <w:tc>
          <w:tcPr>
            <w:tcW w:w="3255" w:type="dxa"/>
            <w:gridSpan w:val="5"/>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未经复议直接起诉</w:t>
            </w:r>
          </w:p>
        </w:tc>
        <w:tc>
          <w:tcPr>
            <w:tcW w:w="3255" w:type="dxa"/>
            <w:gridSpan w:val="5"/>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复议后起诉</w:t>
            </w:r>
          </w:p>
        </w:tc>
      </w:tr>
      <w:tr>
        <w:tblPrEx>
          <w:tblCellMar>
            <w:top w:w="63" w:type="dxa"/>
            <w:left w:w="125" w:type="dxa"/>
            <w:bottom w:w="63" w:type="dxa"/>
            <w:right w:w="125" w:type="dxa"/>
          </w:tblCellMar>
        </w:tblPrEx>
        <w:trPr>
          <w:trHeight w:val="99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0" w:type="auto"/>
            <w:vMerge w:val="continue"/>
            <w:tcBorders>
              <w:top w:val="nil"/>
              <w:left w:val="nil"/>
              <w:bottom w:val="single" w:color="auto" w:sz="4" w:space="0"/>
              <w:right w:val="single" w:color="auto" w:sz="4" w:space="0"/>
            </w:tcBorders>
            <w:vAlign w:val="center"/>
          </w:tcPr>
          <w:p>
            <w:pPr>
              <w:rPr>
                <w:rFonts w:hint="eastAsia" w:ascii="方正仿宋_GBK" w:hAnsi="方正仿宋_GBK" w:eastAsia="方正仿宋_GBK" w:cs="方正仿宋_GBK"/>
                <w:sz w:val="24"/>
                <w:szCs w:val="24"/>
              </w:rPr>
            </w:pP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结果</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维持</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结果</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 纠正</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其他</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结果</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尚未</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审结</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总计</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结果</w:t>
            </w:r>
          </w:p>
          <w:p>
            <w:pPr>
              <w:pStyle w:val="11"/>
              <w:wordWrap w:val="0"/>
              <w:spacing w:beforeAutospacing="0" w:afterAutospacing="0" w:line="360" w:lineRule="atLeast"/>
              <w:jc w:val="both"/>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 维持</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结果</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纠正</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其他</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结果</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color w:val="000000"/>
                <w:sz w:val="16"/>
                <w:szCs w:val="16"/>
                <w:lang w:eastAsia="zh-CN"/>
              </w:rPr>
            </w:pPr>
            <w:r>
              <w:rPr>
                <w:rFonts w:hint="eastAsia" w:ascii="方正仿宋_GBK" w:hAnsi="方正仿宋_GBK" w:eastAsia="方正仿宋_GBK" w:cs="方正仿宋_GBK"/>
                <w:color w:val="000000"/>
                <w:sz w:val="16"/>
                <w:szCs w:val="16"/>
              </w:rPr>
              <w:t>尚未</w:t>
            </w:r>
          </w:p>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审结</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16"/>
                <w:szCs w:val="16"/>
              </w:rPr>
              <w:t>总计</w:t>
            </w:r>
          </w:p>
        </w:tc>
      </w:tr>
      <w:tr>
        <w:tblPrEx>
          <w:tblCellMar>
            <w:top w:w="63" w:type="dxa"/>
            <w:left w:w="125" w:type="dxa"/>
            <w:bottom w:w="63" w:type="dxa"/>
            <w:right w:w="125" w:type="dxa"/>
          </w:tblCellMar>
        </w:tblPrEx>
        <w:trPr>
          <w:trHeight w:val="675" w:hRule="atLeast"/>
          <w:jc w:val="center"/>
        </w:trPr>
        <w:tc>
          <w:tcPr>
            <w:tcW w:w="645" w:type="dxa"/>
            <w:tcBorders>
              <w:top w:val="nil"/>
              <w:left w:val="single" w:color="auto" w:sz="4" w:space="0"/>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0 </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0 </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0 </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0 </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 0</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jc w:val="center"/>
            </w:pPr>
            <w:r>
              <w:rPr>
                <w:color w:val="000000"/>
                <w:sz w:val="16"/>
                <w:szCs w:val="16"/>
              </w:rPr>
              <w:t>0 </w:t>
            </w:r>
          </w:p>
        </w:tc>
        <w:tc>
          <w:tcPr>
            <w:tcW w:w="645" w:type="dxa"/>
            <w:tcBorders>
              <w:top w:val="nil"/>
              <w:left w:val="nil"/>
              <w:bottom w:val="single" w:color="auto" w:sz="4" w:space="0"/>
              <w:right w:val="single" w:color="auto" w:sz="4" w:space="0"/>
            </w:tcBorders>
            <w:tcMar>
              <w:top w:w="0" w:type="dxa"/>
              <w:left w:w="88" w:type="dxa"/>
              <w:bottom w:w="0" w:type="dxa"/>
              <w:right w:w="88" w:type="dxa"/>
            </w:tcMar>
            <w:vAlign w:val="center"/>
          </w:tcPr>
          <w:p>
            <w:pPr>
              <w:pStyle w:val="11"/>
              <w:wordWrap w:val="0"/>
              <w:spacing w:beforeAutospacing="0" w:afterAutospacing="0" w:line="360" w:lineRule="atLeast"/>
            </w:pPr>
            <w:r>
              <w:rPr>
                <w:color w:val="000000"/>
                <w:sz w:val="20"/>
              </w:rPr>
              <w:t>0</w:t>
            </w:r>
          </w:p>
        </w:tc>
      </w:tr>
    </w:tbl>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480"/>
        <w:textAlignment w:val="auto"/>
        <w:rPr>
          <w:rFonts w:ascii="Arial" w:hAnsi="Arial" w:cs="Arial"/>
          <w:color w:val="000000"/>
          <w:sz w:val="32"/>
          <w:szCs w:val="32"/>
        </w:rPr>
      </w:pPr>
      <w:r>
        <w:rPr>
          <w:rFonts w:hint="eastAsia" w:ascii="方正黑体_GBK" w:hAnsi="Arial" w:eastAsia="方正黑体_GBK" w:cs="Arial"/>
          <w:color w:val="000000"/>
          <w:sz w:val="32"/>
          <w:szCs w:val="32"/>
        </w:rPr>
        <w:t>五、存在的主要问题及改进情况</w:t>
      </w:r>
    </w:p>
    <w:p>
      <w:pPr>
        <w:pStyle w:val="11"/>
        <w:keepNext w:val="0"/>
        <w:keepLines w:val="0"/>
        <w:pageBreakBefore w:val="0"/>
        <w:widowControl w:val="0"/>
        <w:kinsoku/>
        <w:wordWrap/>
        <w:overflowPunct/>
        <w:topLinePunct w:val="0"/>
        <w:autoSpaceDE/>
        <w:autoSpaceDN/>
        <w:bidi w:val="0"/>
        <w:adjustRightInd/>
        <w:snapToGrid/>
        <w:spacing w:beforeAutospacing="0" w:after="150" w:afterAutospacing="0" w:line="596" w:lineRule="exact"/>
        <w:ind w:firstLine="480"/>
        <w:textAlignment w:val="auto"/>
        <w:rPr>
          <w:rFonts w:ascii="Arial" w:hAnsi="Arial" w:cs="Arial"/>
          <w:color w:val="000000"/>
          <w:sz w:val="32"/>
          <w:szCs w:val="32"/>
        </w:rPr>
      </w:pPr>
      <w:r>
        <w:rPr>
          <w:rFonts w:hint="eastAsia" w:ascii="方正仿宋_GBK" w:hAnsi="Arial" w:cs="Arial"/>
          <w:color w:val="000000"/>
          <w:sz w:val="32"/>
          <w:szCs w:val="32"/>
          <w:shd w:val="clear" w:color="auto" w:fill="FFFFFF"/>
        </w:rPr>
        <w:t>2023年，长生镇政府信息公开工作虽然取得了一定的成绩，但在提高工作人员业务能力和创新政府信息公开渠道等方面存在不足，针对存在的问题和不足，2024年将从以下方面改进:</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6" w:lineRule="exact"/>
        <w:ind w:firstLine="526"/>
        <w:textAlignment w:val="auto"/>
        <w:rPr>
          <w:rFonts w:ascii="Arial" w:hAnsi="Arial" w:cs="Arial"/>
          <w:color w:val="000000"/>
          <w:sz w:val="32"/>
          <w:szCs w:val="32"/>
        </w:rPr>
      </w:pPr>
      <w:r>
        <w:rPr>
          <w:rFonts w:hint="eastAsia" w:ascii="方正仿宋_GBK" w:hAnsi="Arial" w:cs="Arial"/>
          <w:color w:val="000000"/>
          <w:sz w:val="32"/>
          <w:szCs w:val="32"/>
          <w:shd w:val="clear" w:color="auto" w:fill="FFFFFF"/>
        </w:rPr>
        <w:t>一是进一步强化学习认识，积极参加信息公开业务培训，明确政府信息公开工作要求，熟悉相关业务知识。定期召开专题会议，研究部署相关工作、开展相关培训。</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526"/>
        <w:textAlignment w:val="auto"/>
        <w:rPr>
          <w:rFonts w:ascii="Arial" w:hAnsi="Arial" w:cs="Arial"/>
          <w:color w:val="000000"/>
          <w:sz w:val="32"/>
          <w:szCs w:val="32"/>
        </w:rPr>
      </w:pPr>
      <w:r>
        <w:rPr>
          <w:rFonts w:hint="eastAsia" w:ascii="方正仿宋_GBK" w:hAnsi="Arial" w:cs="Arial"/>
          <w:color w:val="000000"/>
          <w:sz w:val="32"/>
          <w:szCs w:val="32"/>
          <w:shd w:val="clear" w:color="auto" w:fill="FFFFFF"/>
        </w:rPr>
        <w:t>二是进一步健全工作制度，不断健全完善政府信息和政务公开工作机制，采取多形式、多渠道进行政务公开，确保信息公开的完整性、全面性，提升</w:t>
      </w:r>
      <w:r>
        <w:rPr>
          <w:rFonts w:hint="eastAsia" w:ascii="方正仿宋_GBK" w:hAnsi="Arial" w:cs="Arial"/>
          <w:color w:val="000000"/>
          <w:sz w:val="32"/>
          <w:szCs w:val="32"/>
          <w:shd w:val="clear" w:color="auto" w:fill="FFFFFF"/>
          <w:lang w:eastAsia="zh-CN"/>
        </w:rPr>
        <w:t>政府</w:t>
      </w:r>
      <w:r>
        <w:rPr>
          <w:rFonts w:hint="eastAsia" w:ascii="方正仿宋_GBK" w:hAnsi="Arial" w:cs="Arial"/>
          <w:color w:val="000000"/>
          <w:sz w:val="32"/>
          <w:szCs w:val="32"/>
          <w:shd w:val="clear" w:color="auto" w:fill="FFFFFF"/>
        </w:rPr>
        <w:t>信息公开工作水平。</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480"/>
        <w:textAlignment w:val="auto"/>
        <w:rPr>
          <w:rFonts w:ascii="Arial" w:hAnsi="Arial" w:cs="Arial"/>
          <w:color w:val="000000"/>
          <w:sz w:val="32"/>
          <w:szCs w:val="32"/>
        </w:rPr>
      </w:pPr>
      <w:r>
        <w:rPr>
          <w:rFonts w:hint="eastAsia" w:ascii="方正黑体_GBK" w:hAnsi="Arial" w:eastAsia="方正黑体_GBK" w:cs="Arial"/>
          <w:color w:val="000000"/>
          <w:sz w:val="32"/>
          <w:szCs w:val="32"/>
        </w:rPr>
        <w:t>六、其他需要报告的事项</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beforeAutospacing="0" w:afterAutospacing="0" w:line="596" w:lineRule="exact"/>
        <w:ind w:firstLine="520"/>
        <w:textAlignment w:val="auto"/>
        <w:rPr>
          <w:rFonts w:ascii="Arial" w:hAnsi="Arial" w:cs="Arial"/>
          <w:color w:val="000000"/>
          <w:sz w:val="32"/>
          <w:szCs w:val="32"/>
        </w:rPr>
      </w:pPr>
      <w:r>
        <w:rPr>
          <w:rFonts w:hint="eastAsia" w:ascii="方正仿宋_GBK" w:hAnsi="Arial" w:cs="Arial"/>
          <w:color w:val="000000"/>
          <w:sz w:val="32"/>
          <w:szCs w:val="32"/>
        </w:rPr>
        <w:t>无其他需要报告的事项。</w:t>
      </w:r>
    </w:p>
    <w:p>
      <w:pPr>
        <w:pStyle w:val="11"/>
        <w:spacing w:beforeAutospacing="0" w:afterAutospacing="0" w:line="451" w:lineRule="atLeast"/>
        <w:ind w:firstLine="520"/>
        <w:rPr>
          <w:rFonts w:ascii="Arial" w:hAnsi="Arial" w:cs="Arial"/>
          <w:color w:val="000000"/>
          <w:sz w:val="26"/>
          <w:szCs w:val="26"/>
        </w:rPr>
      </w:pPr>
    </w:p>
    <w:p>
      <w:pPr>
        <w:spacing w:line="600" w:lineRule="exact"/>
        <w:ind w:firstLine="640" w:firstLineChars="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703BBF8-B3F4-4976-8BF6-8108D9BA42C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3BCBD450-AA9C-4C14-B367-5034B909678F}"/>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embedRegular r:id="rId3" w:fontKey="{2205543D-F271-4DB8-9900-C454DF10CBF1}"/>
  </w:font>
  <w:font w:name="方正黑体_GBK">
    <w:panose1 w:val="03000509000000000000"/>
    <w:charset w:val="86"/>
    <w:family w:val="script"/>
    <w:pitch w:val="default"/>
    <w:sig w:usb0="00000001" w:usb1="080E0000" w:usb2="00000000" w:usb3="00000000" w:csb0="00040000" w:csb1="00000000"/>
    <w:embedRegular r:id="rId4" w:fontKey="{BCF41D58-C8F1-4972-AD1F-13305F450CE6}"/>
  </w:font>
  <w:font w:name="方正楷体_GBK">
    <w:panose1 w:val="03000509000000000000"/>
    <w:charset w:val="86"/>
    <w:family w:val="script"/>
    <w:pitch w:val="default"/>
    <w:sig w:usb0="00000001" w:usb1="080E0000" w:usb2="00000000" w:usb3="00000000" w:csb0="00040000" w:csb1="00000000"/>
    <w:embedRegular r:id="rId5" w:fontKey="{D6A17FB2-4AB2-47E1-BC54-49392877ECE4}"/>
  </w:font>
  <w:font w:name="___WRD_EMBED_SUB_38">
    <w:panose1 w:val="03000509000000000000"/>
    <w:charset w:val="86"/>
    <w:family w:val="script"/>
    <w:pitch w:val="default"/>
    <w:sig w:usb0="00000001" w:usb1="080E0000" w:usb2="00000000" w:usb3="00000000" w:csb0="00040000" w:csb1="00000000"/>
    <w:embedRegular r:id="rId6" w:fontKey="{7A82BEC1-73BF-4D99-980B-29267CE8FAB6}"/>
  </w:font>
  <w:font w:name="楷体">
    <w:panose1 w:val="02010609060101010101"/>
    <w:charset w:val="86"/>
    <w:family w:val="modern"/>
    <w:pitch w:val="default"/>
    <w:sig w:usb0="800002BF" w:usb1="38CF7CFA" w:usb2="00000016" w:usb3="00000000" w:csb0="00040001" w:csb1="00000000"/>
    <w:embedRegular r:id="rId7" w:fontKey="{DAA951C7-A3F6-4C83-88C4-04834A80B6ED}"/>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FjNTEwZTllOTUzYjFmOWU1OTg2YmUzMWZkZTQ4MjYifQ=="/>
  </w:docVars>
  <w:rsids>
    <w:rsidRoot w:val="28846342"/>
    <w:rsid w:val="0001772B"/>
    <w:rsid w:val="00033044"/>
    <w:rsid w:val="00044B06"/>
    <w:rsid w:val="0006554B"/>
    <w:rsid w:val="00095ED6"/>
    <w:rsid w:val="000A169E"/>
    <w:rsid w:val="000E210E"/>
    <w:rsid w:val="000F7426"/>
    <w:rsid w:val="001943B7"/>
    <w:rsid w:val="001D18D1"/>
    <w:rsid w:val="002001DD"/>
    <w:rsid w:val="0022210F"/>
    <w:rsid w:val="00242C34"/>
    <w:rsid w:val="00260840"/>
    <w:rsid w:val="00293FE4"/>
    <w:rsid w:val="002973E2"/>
    <w:rsid w:val="002A4032"/>
    <w:rsid w:val="002B3FE0"/>
    <w:rsid w:val="002D550F"/>
    <w:rsid w:val="003A4F72"/>
    <w:rsid w:val="003C3299"/>
    <w:rsid w:val="003F139F"/>
    <w:rsid w:val="003F333B"/>
    <w:rsid w:val="004076A1"/>
    <w:rsid w:val="0043640B"/>
    <w:rsid w:val="00445974"/>
    <w:rsid w:val="004469CB"/>
    <w:rsid w:val="004619E5"/>
    <w:rsid w:val="004745D7"/>
    <w:rsid w:val="004851B2"/>
    <w:rsid w:val="00485264"/>
    <w:rsid w:val="004A148A"/>
    <w:rsid w:val="004C32D8"/>
    <w:rsid w:val="004E56C1"/>
    <w:rsid w:val="00503C24"/>
    <w:rsid w:val="00514E79"/>
    <w:rsid w:val="00515CD0"/>
    <w:rsid w:val="00561005"/>
    <w:rsid w:val="005841F8"/>
    <w:rsid w:val="005A01A4"/>
    <w:rsid w:val="005A175D"/>
    <w:rsid w:val="005C6D04"/>
    <w:rsid w:val="005E64BB"/>
    <w:rsid w:val="005F7105"/>
    <w:rsid w:val="00605F57"/>
    <w:rsid w:val="00695FCF"/>
    <w:rsid w:val="007479B7"/>
    <w:rsid w:val="007643CF"/>
    <w:rsid w:val="007872E9"/>
    <w:rsid w:val="00795DFC"/>
    <w:rsid w:val="00797BCA"/>
    <w:rsid w:val="007B316E"/>
    <w:rsid w:val="008224D9"/>
    <w:rsid w:val="00827EA9"/>
    <w:rsid w:val="00844C24"/>
    <w:rsid w:val="00855E65"/>
    <w:rsid w:val="00857CA4"/>
    <w:rsid w:val="00873013"/>
    <w:rsid w:val="00885852"/>
    <w:rsid w:val="00885F63"/>
    <w:rsid w:val="00927371"/>
    <w:rsid w:val="009B651B"/>
    <w:rsid w:val="009C422B"/>
    <w:rsid w:val="009E6D63"/>
    <w:rsid w:val="009E7FA5"/>
    <w:rsid w:val="00A17D32"/>
    <w:rsid w:val="00A93BEA"/>
    <w:rsid w:val="00AA4BD6"/>
    <w:rsid w:val="00AC7B94"/>
    <w:rsid w:val="00AD02D7"/>
    <w:rsid w:val="00AD5133"/>
    <w:rsid w:val="00AF5814"/>
    <w:rsid w:val="00B002B2"/>
    <w:rsid w:val="00B379A8"/>
    <w:rsid w:val="00B75D3B"/>
    <w:rsid w:val="00B90349"/>
    <w:rsid w:val="00BC2E31"/>
    <w:rsid w:val="00C57100"/>
    <w:rsid w:val="00C77C3E"/>
    <w:rsid w:val="00C96C1E"/>
    <w:rsid w:val="00CF7D1A"/>
    <w:rsid w:val="00DB195D"/>
    <w:rsid w:val="00DB4D2F"/>
    <w:rsid w:val="00DC63D1"/>
    <w:rsid w:val="00DE4D03"/>
    <w:rsid w:val="00DF1FAA"/>
    <w:rsid w:val="00DF7587"/>
    <w:rsid w:val="00E22D98"/>
    <w:rsid w:val="00E33B85"/>
    <w:rsid w:val="00E77E39"/>
    <w:rsid w:val="00E875F4"/>
    <w:rsid w:val="00F45B51"/>
    <w:rsid w:val="00F663EC"/>
    <w:rsid w:val="00F90712"/>
    <w:rsid w:val="00F92D71"/>
    <w:rsid w:val="00FA1B46"/>
    <w:rsid w:val="00FA2031"/>
    <w:rsid w:val="00FB3C9C"/>
    <w:rsid w:val="00FD079E"/>
    <w:rsid w:val="00FE5D93"/>
    <w:rsid w:val="01A0153B"/>
    <w:rsid w:val="01E30383"/>
    <w:rsid w:val="0EE73209"/>
    <w:rsid w:val="0FA52927"/>
    <w:rsid w:val="13384104"/>
    <w:rsid w:val="14AF130A"/>
    <w:rsid w:val="1BA869C7"/>
    <w:rsid w:val="27690E21"/>
    <w:rsid w:val="28846342"/>
    <w:rsid w:val="3AEC79E0"/>
    <w:rsid w:val="3E6107FF"/>
    <w:rsid w:val="3EB6010C"/>
    <w:rsid w:val="437A19FD"/>
    <w:rsid w:val="46430403"/>
    <w:rsid w:val="4C1C0916"/>
    <w:rsid w:val="50927929"/>
    <w:rsid w:val="55A25A4F"/>
    <w:rsid w:val="567B5594"/>
    <w:rsid w:val="58E42E60"/>
    <w:rsid w:val="5A090374"/>
    <w:rsid w:val="5A383ADC"/>
    <w:rsid w:val="5BC333A9"/>
    <w:rsid w:val="5FEC48FC"/>
    <w:rsid w:val="6D752551"/>
    <w:rsid w:val="6DCC52FE"/>
    <w:rsid w:val="71AF4BE3"/>
    <w:rsid w:val="776E6654"/>
    <w:rsid w:val="78440D2C"/>
    <w:rsid w:val="79F24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22"/>
    <w:autoRedefine/>
    <w:qFormat/>
    <w:uiPriority w:val="0"/>
    <w:pPr>
      <w:keepNext/>
      <w:keepLines/>
      <w:spacing w:before="260" w:after="260" w:line="413" w:lineRule="auto"/>
      <w:outlineLvl w:val="2"/>
    </w:pPr>
    <w:rPr>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unhideWhenUsed/>
    <w:qFormat/>
    <w:uiPriority w:val="99"/>
    <w:pPr>
      <w:spacing w:line="288" w:lineRule="auto"/>
      <w:ind w:firstLine="200" w:firstLineChars="200"/>
    </w:pPr>
    <w:rPr>
      <w:rFonts w:ascii="Arial" w:hAnsi="Arial"/>
      <w:sz w:val="24"/>
    </w:rPr>
  </w:style>
  <w:style w:type="paragraph" w:styleId="6">
    <w:name w:val="toc 3"/>
    <w:basedOn w:val="1"/>
    <w:next w:val="1"/>
    <w:autoRedefine/>
    <w:qFormat/>
    <w:uiPriority w:val="39"/>
    <w:pPr>
      <w:ind w:left="640"/>
      <w:jc w:val="left"/>
    </w:pPr>
    <w:rPr>
      <w:rFonts w:asciiTheme="minorHAnsi" w:eastAsiaTheme="minorHAnsi"/>
      <w:i/>
      <w:iCs/>
      <w:sz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39"/>
    <w:pPr>
      <w:spacing w:before="120" w:after="120"/>
      <w:jc w:val="left"/>
    </w:pPr>
    <w:rPr>
      <w:rFonts w:asciiTheme="minorHAnsi" w:eastAsiaTheme="minorHAnsi"/>
      <w:b/>
      <w:bCs/>
      <w:caps/>
      <w:sz w:val="20"/>
    </w:rPr>
  </w:style>
  <w:style w:type="paragraph" w:styleId="10">
    <w:name w:val="toc 2"/>
    <w:basedOn w:val="1"/>
    <w:next w:val="1"/>
    <w:autoRedefine/>
    <w:qFormat/>
    <w:uiPriority w:val="39"/>
    <w:pPr>
      <w:ind w:left="320"/>
      <w:jc w:val="left"/>
    </w:pPr>
    <w:rPr>
      <w:rFonts w:asciiTheme="minorHAnsi" w:eastAsiaTheme="minorHAnsi"/>
      <w:smallCaps/>
      <w:sz w:val="20"/>
    </w:rPr>
  </w:style>
  <w:style w:type="paragraph" w:styleId="11">
    <w:name w:val="Normal (Web)"/>
    <w:basedOn w:val="1"/>
    <w:autoRedefine/>
    <w:qFormat/>
    <w:uiPriority w:val="99"/>
    <w:pPr>
      <w:spacing w:beforeAutospacing="1" w:afterAutospacing="1"/>
      <w:jc w:val="left"/>
    </w:pPr>
    <w:rPr>
      <w:kern w:val="0"/>
      <w:sz w:val="24"/>
    </w:rPr>
  </w:style>
  <w:style w:type="character" w:styleId="14">
    <w:name w:val="Strong"/>
    <w:basedOn w:val="13"/>
    <w:autoRedefine/>
    <w:qFormat/>
    <w:uiPriority w:val="0"/>
    <w:rPr>
      <w:b/>
      <w:bCs/>
    </w:rPr>
  </w:style>
  <w:style w:type="character" w:styleId="15">
    <w:name w:val="FollowedHyperlink"/>
    <w:basedOn w:val="13"/>
    <w:autoRedefine/>
    <w:qFormat/>
    <w:uiPriority w:val="0"/>
    <w:rPr>
      <w:color w:val="333333"/>
      <w:u w:val="none"/>
    </w:rPr>
  </w:style>
  <w:style w:type="character" w:styleId="16">
    <w:name w:val="Hyperlink"/>
    <w:basedOn w:val="13"/>
    <w:autoRedefine/>
    <w:qFormat/>
    <w:uiPriority w:val="99"/>
    <w:rPr>
      <w:color w:val="0563C1" w:themeColor="hyperlink"/>
      <w:u w:val="single"/>
    </w:rPr>
  </w:style>
  <w:style w:type="character" w:styleId="17">
    <w:name w:val="HTML Code"/>
    <w:basedOn w:val="13"/>
    <w:autoRedefine/>
    <w:qFormat/>
    <w:uiPriority w:val="0"/>
    <w:rPr>
      <w:rFonts w:hint="default" w:ascii="monospace" w:hAnsi="monospace" w:eastAsia="monospace" w:cs="monospace"/>
      <w:sz w:val="21"/>
      <w:szCs w:val="21"/>
    </w:rPr>
  </w:style>
  <w:style w:type="character" w:styleId="18">
    <w:name w:val="HTML Keyboard"/>
    <w:basedOn w:val="13"/>
    <w:autoRedefine/>
    <w:qFormat/>
    <w:uiPriority w:val="0"/>
    <w:rPr>
      <w:rFonts w:hint="default" w:ascii="monospace" w:hAnsi="monospace" w:eastAsia="monospace" w:cs="monospace"/>
      <w:sz w:val="21"/>
      <w:szCs w:val="21"/>
    </w:rPr>
  </w:style>
  <w:style w:type="character" w:styleId="19">
    <w:name w:val="HTML Sample"/>
    <w:basedOn w:val="13"/>
    <w:autoRedefine/>
    <w:qFormat/>
    <w:uiPriority w:val="0"/>
    <w:rPr>
      <w:rFonts w:ascii="monospace" w:hAnsi="monospace" w:eastAsia="monospace" w:cs="monospace"/>
      <w:sz w:val="21"/>
      <w:szCs w:val="21"/>
    </w:rPr>
  </w:style>
  <w:style w:type="paragraph" w:styleId="20">
    <w:name w:val="List Paragraph"/>
    <w:basedOn w:val="1"/>
    <w:autoRedefine/>
    <w:qFormat/>
    <w:uiPriority w:val="34"/>
    <w:pPr>
      <w:ind w:firstLine="420" w:firstLineChars="200"/>
    </w:pPr>
  </w:style>
  <w:style w:type="character" w:customStyle="1" w:styleId="21">
    <w:name w:val="标题 1 Char"/>
    <w:link w:val="2"/>
    <w:autoRedefine/>
    <w:qFormat/>
    <w:uiPriority w:val="0"/>
    <w:rPr>
      <w:b/>
      <w:kern w:val="44"/>
      <w:sz w:val="44"/>
    </w:rPr>
  </w:style>
  <w:style w:type="character" w:customStyle="1" w:styleId="22">
    <w:name w:val="标题 3 Char"/>
    <w:link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411</Words>
  <Characters>2346</Characters>
  <Lines>19</Lines>
  <Paragraphs>5</Paragraphs>
  <TotalTime>243</TotalTime>
  <ScaleCrop>false</ScaleCrop>
  <LinksUpToDate>false</LinksUpToDate>
  <CharactersWithSpaces>2752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2022-12-29T00:52:00Z</dcterms:created>
  <dc:creator>WPS_1561293325</dc:creator>
  <cp:lastModifiedBy>Administrator</cp:lastModifiedBy>
  <dcterms:modified xsi:type="dcterms:W3CDTF">2024-01-31T09:46:00Z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7784001F76984BA0B5996BBE544EEADA_13</vt:lpwstr>
  </property>
</Properties>
</file>