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color w:val="000000"/>
          <w:sz w:val="44"/>
          <w:szCs w:val="44"/>
        </w:rPr>
        <w:t>彭水苗族土家族数字化城市运行和治理中心</w:t>
      </w:r>
    </w:p>
    <w:p>
      <w:pPr>
        <w:spacing w:line="550" w:lineRule="exact"/>
        <w:jc w:val="center"/>
        <w:rPr>
          <w:rFonts w:ascii="方正小标宋_GBK" w:hAnsi="华文中宋" w:eastAsia="方正小标宋_GBK" w:cs="华文中宋"/>
          <w:sz w:val="44"/>
          <w:szCs w:val="44"/>
        </w:rPr>
      </w:pPr>
      <w:r>
        <w:rPr>
          <w:rFonts w:hint="eastAsia" w:ascii="方正小标宋_GBK" w:hAnsi="华文中宋" w:eastAsia="方正小标宋_GBK" w:cs="华文中宋"/>
          <w:sz w:val="44"/>
          <w:szCs w:val="44"/>
        </w:rPr>
        <w:t>2025年部门预算情况说明</w:t>
      </w:r>
    </w:p>
    <w:p>
      <w:pPr>
        <w:spacing w:line="550" w:lineRule="exact"/>
        <w:ind w:firstLine="880" w:firstLineChars="200"/>
        <w:jc w:val="center"/>
        <w:rPr>
          <w:rFonts w:ascii="华文中宋" w:hAnsi="华文中宋" w:eastAsia="华文中宋" w:cs="华文中宋"/>
          <w:sz w:val="44"/>
          <w:szCs w:val="44"/>
        </w:rPr>
      </w:pPr>
    </w:p>
    <w:p>
      <w:pPr>
        <w:spacing w:line="55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一、单位基本情况</w:t>
      </w:r>
    </w:p>
    <w:p>
      <w:pPr>
        <w:spacing w:line="550" w:lineRule="exact"/>
        <w:ind w:firstLine="640" w:firstLineChars="200"/>
        <w:rPr>
          <w:rFonts w:ascii="方正楷体_GBK" w:hAnsi="方正楷体_GBK" w:eastAsia="方正楷体_GBK" w:cs="方正楷体_GBK"/>
          <w:sz w:val="32"/>
        </w:rPr>
      </w:pPr>
      <w:r>
        <w:rPr>
          <w:rFonts w:hint="eastAsia" w:ascii="方正楷体_GBK" w:hAnsi="方正楷体_GBK" w:eastAsia="方正楷体_GBK" w:cs="方正楷体_GBK"/>
          <w:sz w:val="32"/>
        </w:rPr>
        <w:t>（一）职能职责</w:t>
      </w:r>
    </w:p>
    <w:p>
      <w:pPr>
        <w:snapToGrid w:val="0"/>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rPr>
        <w:t>部门现行的职能职责</w:t>
      </w:r>
      <w:r>
        <w:rPr>
          <w:rFonts w:hint="eastAsia" w:ascii="方正仿宋_GBK" w:hAnsi="方正仿宋_GBK" w:eastAsia="方正仿宋_GBK" w:cs="方正仿宋_GBK"/>
          <w:sz w:val="32"/>
          <w:szCs w:val="32"/>
        </w:rPr>
        <w:t>围绕“实战枢纽”定位，服务城市治理</w:t>
      </w:r>
      <w:r>
        <w:rPr>
          <w:rFonts w:hint="eastAsia" w:ascii="方正仿宋_GBK" w:hAnsi="方正仿宋_GBK" w:eastAsia="方正仿宋_GBK" w:cs="方正仿宋_GBK"/>
          <w:sz w:val="32"/>
          <w:szCs w:val="32"/>
          <w:lang w:eastAsia="zh-CN"/>
        </w:rPr>
        <w:t>体系</w:t>
      </w:r>
      <w:r>
        <w:rPr>
          <w:rFonts w:hint="eastAsia" w:ascii="方正仿宋_GBK" w:hAnsi="方正仿宋_GBK" w:eastAsia="方正仿宋_GBK" w:cs="方正仿宋_GBK"/>
          <w:sz w:val="32"/>
          <w:szCs w:val="32"/>
        </w:rPr>
        <w:t>和治理</w:t>
      </w:r>
      <w:r>
        <w:rPr>
          <w:rFonts w:hint="eastAsia" w:ascii="方正仿宋_GBK" w:hAnsi="方正仿宋_GBK" w:eastAsia="方正仿宋_GBK" w:cs="方正仿宋_GBK"/>
          <w:sz w:val="32"/>
          <w:szCs w:val="32"/>
          <w:lang w:eastAsia="zh-CN"/>
        </w:rPr>
        <w:t>能力</w:t>
      </w:r>
      <w:bookmarkStart w:id="0" w:name="_GoBack"/>
      <w:bookmarkEnd w:id="0"/>
      <w:r>
        <w:rPr>
          <w:rFonts w:hint="eastAsia" w:ascii="方正仿宋_GBK" w:hAnsi="方正仿宋_GBK" w:eastAsia="方正仿宋_GBK" w:cs="方正仿宋_GBK"/>
          <w:sz w:val="32"/>
          <w:szCs w:val="32"/>
        </w:rPr>
        <w:t>现代化建设，发挥上下贯通、横向协同、系统集成作用，建设从感知到决策，从联动指挥到组织反馈的全流程管理，打造全局“一屏掌控”、政令“一键智达”、执行“一贯到底”、监督“一览无余”的智能中枢。</w:t>
      </w:r>
    </w:p>
    <w:p>
      <w:pPr>
        <w:spacing w:line="550" w:lineRule="exact"/>
        <w:ind w:firstLine="640" w:firstLineChars="200"/>
        <w:rPr>
          <w:rFonts w:ascii="方正楷体_GBK" w:hAnsi="方正楷体_GBK" w:eastAsia="方正楷体_GBK" w:cs="方正楷体_GBK"/>
          <w:sz w:val="32"/>
        </w:rPr>
      </w:pPr>
      <w:r>
        <w:rPr>
          <w:rFonts w:hint="eastAsia" w:ascii="方正楷体_GBK" w:hAnsi="方正楷体_GBK" w:eastAsia="方正楷体_GBK" w:cs="方正楷体_GBK"/>
          <w:sz w:val="32"/>
        </w:rPr>
        <w:t>（二）单位构成</w:t>
      </w:r>
    </w:p>
    <w:p>
      <w:pPr>
        <w:pStyle w:val="5"/>
        <w:tabs>
          <w:tab w:val="center" w:pos="4153"/>
          <w:tab w:val="left" w:pos="7275"/>
        </w:tabs>
        <w:spacing w:line="550" w:lineRule="exact"/>
        <w:ind w:firstLine="640"/>
        <w:rPr>
          <w:rFonts w:ascii="方正仿宋_GBK" w:hAnsi="仿宋_GB2312" w:eastAsia="方正仿宋_GBK" w:cs="仿宋_GB2312"/>
          <w:sz w:val="32"/>
        </w:rPr>
      </w:pPr>
      <w:r>
        <w:rPr>
          <w:rFonts w:hint="eastAsia" w:ascii="方正仿宋_GBK" w:hAnsi="方正仿宋_GBK" w:eastAsia="方正仿宋_GBK" w:cs="方正仿宋_GBK"/>
          <w:sz w:val="32"/>
        </w:rPr>
        <w:t>彭水苗族土家族自治县数字化城市运行和治理中心内设5个科室，分别是</w:t>
      </w:r>
      <w:r>
        <w:rPr>
          <w:rFonts w:hint="eastAsia" w:ascii="方正仿宋_GBK" w:hAnsi="方正仿宋_GBK" w:eastAsia="方正仿宋_GBK" w:cs="方正仿宋_GBK"/>
          <w:sz w:val="32"/>
          <w:szCs w:val="32"/>
        </w:rPr>
        <w:t>综合科</w:t>
      </w:r>
      <w:r>
        <w:rPr>
          <w:rFonts w:hint="eastAsia" w:ascii="方正仿宋_GBK" w:hAnsi="方正仿宋_GBK" w:eastAsia="方正仿宋_GBK" w:cs="方正仿宋_GBK"/>
          <w:sz w:val="32"/>
        </w:rPr>
        <w:t>、</w:t>
      </w:r>
      <w:r>
        <w:rPr>
          <w:rFonts w:hint="eastAsia" w:ascii="方正仿宋_GBK" w:hAnsi="方正仿宋_GBK" w:eastAsia="方正仿宋_GBK" w:cs="方正仿宋_GBK"/>
          <w:sz w:val="32"/>
          <w:szCs w:val="32"/>
        </w:rPr>
        <w:t>技术保障科、监测预警科、运行调度科、监督评价科</w:t>
      </w:r>
      <w:r>
        <w:rPr>
          <w:rFonts w:hint="eastAsia" w:ascii="方正仿宋_GBK" w:hAnsi="方正仿宋_GBK" w:eastAsia="方正仿宋_GBK" w:cs="方正仿宋_GBK"/>
          <w:sz w:val="32"/>
        </w:rPr>
        <w:t>。</w:t>
      </w:r>
    </w:p>
    <w:p>
      <w:pPr>
        <w:spacing w:line="550" w:lineRule="exact"/>
        <w:ind w:firstLine="640" w:firstLineChars="200"/>
        <w:rPr>
          <w:rFonts w:ascii="方正仿宋_GBK" w:hAnsi="黑体" w:eastAsia="方正仿宋_GBK" w:cs="仿宋_GB2312"/>
          <w:sz w:val="32"/>
        </w:rPr>
      </w:pPr>
      <w:r>
        <w:rPr>
          <w:rFonts w:hint="eastAsia" w:ascii="方正黑体_GBK" w:hAnsi="黑体" w:eastAsia="方正黑体_GBK" w:cs="仿宋_GB2312"/>
          <w:sz w:val="32"/>
        </w:rPr>
        <w:t>二、单位收支总体情况</w:t>
      </w:r>
    </w:p>
    <w:p>
      <w:pPr>
        <w:spacing w:line="550" w:lineRule="exact"/>
        <w:ind w:firstLine="640" w:firstLineChars="200"/>
        <w:rPr>
          <w:rFonts w:ascii="方正仿宋_GBK" w:hAnsi="仿宋_GB2312" w:eastAsia="方正仿宋_GBK" w:cs="仿宋_GB2312"/>
          <w:sz w:val="32"/>
        </w:rPr>
      </w:pPr>
      <w:r>
        <w:rPr>
          <w:rFonts w:hint="eastAsia" w:ascii="方正楷体_GBK" w:hAnsi="方正楷体_GBK" w:eastAsia="方正楷体_GBK" w:cs="方正楷体_GBK"/>
          <w:sz w:val="32"/>
        </w:rPr>
        <w:t>（一）收入预算：</w:t>
      </w:r>
      <w:r>
        <w:rPr>
          <w:rFonts w:hint="eastAsia" w:ascii="方正仿宋_GBK" w:hAnsi="仿宋_GB2312" w:eastAsia="方正仿宋_GBK" w:cs="仿宋_GB2312"/>
          <w:sz w:val="32"/>
        </w:rPr>
        <w:t>2025年年初预算数290.10万元，其中：一般公共预算拨款291.10万元，政府性基金预算拨款0万元，国有资本经营预算收入0万元，事业收入0万元，事业单位经营收入0万元，其他收入0万元。收入较2024年增加290.10万元，主要是新成立单位2024年未做预算，因此经费拨款增加290.10万元。</w:t>
      </w:r>
    </w:p>
    <w:p>
      <w:pPr>
        <w:spacing w:line="550" w:lineRule="exact"/>
        <w:ind w:firstLine="640" w:firstLineChars="200"/>
        <w:rPr>
          <w:rFonts w:ascii="方正仿宋_GBK" w:hAnsi="仿宋_GB2312" w:eastAsia="方正仿宋_GBK" w:cs="仿宋_GB2312"/>
          <w:sz w:val="32"/>
        </w:rPr>
      </w:pPr>
      <w:r>
        <w:rPr>
          <w:rFonts w:hint="eastAsia" w:ascii="方正楷体_GBK" w:hAnsi="方正楷体_GBK" w:eastAsia="方正楷体_GBK" w:cs="方正楷体_GBK"/>
          <w:sz w:val="32"/>
        </w:rPr>
        <w:t>（二）支出预算：</w:t>
      </w:r>
      <w:r>
        <w:rPr>
          <w:rFonts w:hint="eastAsia" w:ascii="方正仿宋_GBK" w:hAnsi="仿宋_GB2312" w:eastAsia="方正仿宋_GBK" w:cs="仿宋_GB2312"/>
          <w:sz w:val="32"/>
        </w:rPr>
        <w:t>2025年年初预算数290.10万元，其中：一般公共服务支出预算261.44万元，社会保障和就业支出预算17.48万元，卫生健康支出预算5.29 万元，住房保障支出预算5.88万元。支出预算较2024年增加264.56万元，主要是基本支出预算增加115.11万元，项目支出预算增加149.45万元。</w:t>
      </w:r>
    </w:p>
    <w:p>
      <w:pPr>
        <w:spacing w:line="55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三、单位预算情况说明</w:t>
      </w:r>
    </w:p>
    <w:p>
      <w:pPr>
        <w:spacing w:line="55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2025年一般公共预算财政拨款收入290.10万元，一般公共预算财政拨款支出290.10万元，比2024年增加264.56万元。其中：基本支出140.65万元，比2024年增加115.11万元，主要原因是新成立单位2024年未做预算，主要用于保障县数字化城市运行和治理中心在职人员工资福利及社会保险缴费，离休人员离休费，退休人员补助等，保障部门正常运转的各项商品服务支出；项目支出149.45万元，比2024年增加149.45万元，主要原因是保障县数字化城市运行和治理中心正常运转等，主要用于数字化城市运行物联感知系统运行保障、数字驾驶舱系统运行维护、指挥大厅运行保障等重点工作。</w:t>
      </w:r>
    </w:p>
    <w:p>
      <w:pPr>
        <w:spacing w:line="550" w:lineRule="exact"/>
        <w:ind w:firstLine="640" w:firstLineChars="200"/>
        <w:rPr>
          <w:rFonts w:ascii="方正仿宋_GBK" w:hAnsi="仿宋_GB2312" w:eastAsia="方正仿宋_GBK" w:cs="仿宋_GB2312"/>
          <w:sz w:val="32"/>
        </w:rPr>
      </w:pPr>
      <w:r>
        <w:rPr>
          <w:rFonts w:hint="eastAsia" w:ascii="方正仿宋_GBK" w:hAnsi="仿宋_GB2312" w:eastAsia="方正仿宋_GBK" w:cs="仿宋_GB2312"/>
          <w:sz w:val="32"/>
        </w:rPr>
        <w:t>县数字化城市运行和治理中心2025年无使用政府性基金预算拨款安排的支出。</w:t>
      </w:r>
    </w:p>
    <w:p>
      <w:pPr>
        <w:spacing w:line="550" w:lineRule="exact"/>
        <w:ind w:firstLine="640" w:firstLineChars="200"/>
        <w:rPr>
          <w:rFonts w:ascii="方正仿宋_GBK" w:hAnsi="黑体" w:eastAsia="方正仿宋_GBK" w:cs="仿宋_GB2312"/>
          <w:sz w:val="32"/>
        </w:rPr>
      </w:pPr>
      <w:r>
        <w:rPr>
          <w:rFonts w:hint="eastAsia" w:ascii="方正黑体_GBK" w:hAnsi="黑体" w:eastAsia="方正黑体_GBK" w:cs="仿宋_GB2312"/>
          <w:sz w:val="32"/>
        </w:rPr>
        <w:t>四、“三公”经费情况说明</w:t>
      </w:r>
    </w:p>
    <w:p>
      <w:pPr>
        <w:spacing w:line="550" w:lineRule="exact"/>
        <w:ind w:firstLine="600"/>
        <w:rPr>
          <w:rFonts w:ascii="方正仿宋_GBK" w:hAnsi="仿宋_GB2312" w:eastAsia="方正仿宋_GBK" w:cs="仿宋_GB2312"/>
          <w:sz w:val="32"/>
        </w:rPr>
      </w:pPr>
      <w:r>
        <w:rPr>
          <w:rFonts w:hint="eastAsia" w:ascii="方正仿宋_GBK" w:hAnsi="仿宋_GB2312" w:eastAsia="方正仿宋_GBK" w:cs="仿宋_GB2312"/>
          <w:sz w:val="32"/>
        </w:rPr>
        <w:t>2025年“三公”经费预算5.3万元，比2024年增加5.3万元。其中：因公出国（境）费用0万元；公务接待费0.8万元，比2024年增加0.8万元，主要原因是新成立单位2024年未做公务接待费预算；公务用车运行维护费4.5万元，比2024年增加4.5万元，主要原因是新成立单位2024年未做公务用车运行维护费预算；公务用车购置费0万元，比2024年减少（或增加）0万元。</w:t>
      </w:r>
    </w:p>
    <w:p>
      <w:pPr>
        <w:spacing w:line="55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五、其他重要事项的情况说明</w:t>
      </w:r>
    </w:p>
    <w:p>
      <w:pPr>
        <w:spacing w:line="550" w:lineRule="exact"/>
        <w:ind w:firstLine="640" w:firstLineChars="200"/>
        <w:rPr>
          <w:rFonts w:ascii="方正仿宋_GBK" w:hAnsi="仿宋_GB2312" w:eastAsia="方正仿宋_GBK" w:cs="仿宋_GB2312"/>
          <w:sz w:val="32"/>
        </w:rPr>
      </w:pPr>
      <w:r>
        <w:rPr>
          <w:rFonts w:hint="eastAsia" w:ascii="方正楷体_GBK" w:hAnsi="方正楷体_GBK" w:eastAsia="方正楷体_GBK" w:cs="方正楷体_GBK"/>
          <w:sz w:val="32"/>
        </w:rPr>
        <w:t>（一）机关运行经费。</w:t>
      </w:r>
      <w:r>
        <w:rPr>
          <w:rFonts w:hint="eastAsia" w:ascii="方正仿宋_GBK" w:hAnsi="仿宋_GB2312" w:eastAsia="方正仿宋_GBK" w:cs="仿宋_GB2312"/>
          <w:sz w:val="32"/>
        </w:rPr>
        <w:t>2025年一般公共预算财政拨款运行经费27.09万元，比上年增加27.09万元，主要原因为新成立单位2024年未做一般公共财政运行经费预算。主要用于办公费、印刷费、邮电费、水电费、物管费、差旅费、会议费、培训费及其他商品和服务支出等。</w:t>
      </w:r>
    </w:p>
    <w:p>
      <w:pPr>
        <w:spacing w:line="550" w:lineRule="exact"/>
        <w:ind w:firstLine="640" w:firstLineChars="200"/>
        <w:rPr>
          <w:rFonts w:ascii="方正仿宋_GBK" w:hAnsi="仿宋_GB2312" w:eastAsia="方正仿宋_GBK" w:cs="仿宋_GB2312"/>
          <w:sz w:val="32"/>
        </w:rPr>
      </w:pPr>
      <w:r>
        <w:rPr>
          <w:rFonts w:hint="eastAsia" w:ascii="方正楷体_GBK" w:hAnsi="方正楷体_GBK" w:eastAsia="方正楷体_GBK" w:cs="方正楷体_GBK"/>
          <w:sz w:val="32"/>
        </w:rPr>
        <w:t>（二）政府采购情况。</w:t>
      </w:r>
      <w:r>
        <w:rPr>
          <w:rFonts w:hint="eastAsia" w:ascii="方正仿宋_GBK" w:hAnsi="仿宋_GB2312" w:eastAsia="方正仿宋_GBK" w:cs="仿宋_GB2312"/>
          <w:sz w:val="32"/>
        </w:rPr>
        <w:t>本单位无政府采购预算。</w:t>
      </w:r>
    </w:p>
    <w:p>
      <w:pPr>
        <w:spacing w:line="550" w:lineRule="exact"/>
        <w:ind w:firstLine="640" w:firstLineChars="200"/>
        <w:rPr>
          <w:rFonts w:ascii="方正仿宋_GBK" w:hAnsi="仿宋_GB2312" w:eastAsia="方正仿宋_GBK" w:cs="仿宋_GB2312"/>
          <w:color w:val="000000"/>
          <w:sz w:val="32"/>
        </w:rPr>
      </w:pPr>
      <w:r>
        <w:rPr>
          <w:rFonts w:hint="eastAsia" w:ascii="方正楷体_GBK" w:hAnsi="方正楷体_GBK" w:eastAsia="方正楷体_GBK" w:cs="方正楷体_GBK"/>
          <w:sz w:val="32"/>
        </w:rPr>
        <w:t>（三）绩效目标设置情况。</w:t>
      </w:r>
      <w:r>
        <w:rPr>
          <w:rFonts w:hint="eastAsia" w:ascii="方正仿宋_GBK" w:hAnsi="仿宋_GB2312" w:eastAsia="方正仿宋_GBK" w:cs="仿宋_GB2312"/>
          <w:color w:val="000000"/>
          <w:sz w:val="32"/>
        </w:rPr>
        <w:t>一是编制了部门整体绩效目标。二是所有特定目标类支出均实行了绩效目标管理，涉及一般公共预算当年财政拨款290.10万元。</w:t>
      </w:r>
    </w:p>
    <w:p>
      <w:pPr>
        <w:numPr>
          <w:ilvl w:val="0"/>
          <w:numId w:val="1"/>
        </w:numPr>
        <w:spacing w:line="550" w:lineRule="exact"/>
        <w:ind w:firstLine="640" w:firstLineChars="200"/>
        <w:rPr>
          <w:rFonts w:ascii="方正仿宋_GBK" w:hAnsi="仿宋_GB2312" w:eastAsia="方正仿宋_GBK" w:cs="仿宋_GB2312"/>
          <w:color w:val="000000"/>
          <w:sz w:val="32"/>
        </w:rPr>
      </w:pPr>
      <w:r>
        <w:rPr>
          <w:rFonts w:hint="eastAsia" w:ascii="方正楷体_GBK" w:hAnsi="方正楷体_GBK" w:eastAsia="方正楷体_GBK" w:cs="方正楷体_GBK"/>
          <w:color w:val="000000"/>
          <w:sz w:val="32"/>
        </w:rPr>
        <w:t>国有资产占有使用情况。</w:t>
      </w:r>
      <w:r>
        <w:rPr>
          <w:rFonts w:hint="eastAsia" w:ascii="方正仿宋_GBK" w:hAnsi="仿宋_GB2312" w:eastAsia="方正仿宋_GBK" w:cs="仿宋_GB2312"/>
          <w:color w:val="000000"/>
          <w:sz w:val="32"/>
        </w:rPr>
        <w:t>截至2024年12月，所属各预算单位共有车辆0辆，其中一般公务用车0辆、执勤执法用车0辆。2025年一般公共预算安排购置车辆0辆，其中一般公务用车0辆、执勤执法用车0辆。</w:t>
      </w:r>
    </w:p>
    <w:p>
      <w:pPr>
        <w:spacing w:line="550" w:lineRule="exact"/>
        <w:ind w:firstLine="640" w:firstLineChars="200"/>
        <w:rPr>
          <w:rFonts w:ascii="方正黑体_GBK" w:hAnsi="黑体" w:eastAsia="方正黑体_GBK" w:cs="仿宋_GB2312"/>
          <w:sz w:val="32"/>
        </w:rPr>
      </w:pPr>
      <w:r>
        <w:rPr>
          <w:rFonts w:hint="eastAsia" w:ascii="方正黑体_GBK" w:hAnsi="黑体" w:eastAsia="方正黑体_GBK" w:cs="仿宋_GB2312"/>
          <w:sz w:val="32"/>
        </w:rPr>
        <w:t>六、专业性名词解释</w:t>
      </w:r>
    </w:p>
    <w:p>
      <w:pPr>
        <w:pStyle w:val="5"/>
        <w:tabs>
          <w:tab w:val="center" w:pos="4153"/>
          <w:tab w:val="left" w:pos="7275"/>
        </w:tabs>
        <w:spacing w:line="550" w:lineRule="exact"/>
        <w:ind w:firstLine="640"/>
        <w:jc w:val="left"/>
        <w:rPr>
          <w:rFonts w:ascii="方正仿宋_GBK" w:eastAsia="方正仿宋_GBK"/>
          <w:sz w:val="32"/>
          <w:szCs w:val="32"/>
        </w:rPr>
      </w:pPr>
      <w:r>
        <w:rPr>
          <w:rFonts w:hint="eastAsia" w:ascii="方正楷体_GBK" w:hAnsi="方正楷体_GBK" w:eastAsia="方正楷体_GBK" w:cs="方正楷体_GBK"/>
          <w:sz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pStyle w:val="5"/>
        <w:tabs>
          <w:tab w:val="center" w:pos="4153"/>
          <w:tab w:val="left" w:pos="7275"/>
        </w:tabs>
        <w:spacing w:line="550" w:lineRule="exact"/>
        <w:ind w:firstLine="640"/>
        <w:jc w:val="left"/>
        <w:rPr>
          <w:rFonts w:ascii="方正仿宋_GBK" w:eastAsia="方正仿宋_GBK"/>
          <w:sz w:val="32"/>
          <w:szCs w:val="32"/>
        </w:rPr>
      </w:pPr>
      <w:r>
        <w:rPr>
          <w:rFonts w:hint="eastAsia" w:ascii="方正楷体_GBK" w:hAnsi="方正楷体_GBK" w:eastAsia="方正楷体_GBK" w:cs="方正楷体_GBK"/>
          <w:sz w:val="32"/>
        </w:rPr>
        <w:t>（二）其他收入：</w:t>
      </w:r>
      <w:r>
        <w:rPr>
          <w:rFonts w:hint="eastAsia" w:ascii="方正仿宋_GBK" w:eastAsia="方正仿宋_GBK"/>
          <w:sz w:val="32"/>
          <w:szCs w:val="32"/>
        </w:rPr>
        <w:t>指单位取得的除“财政拨款收入”“事业收入”“经营收入”等以外的收入。</w:t>
      </w:r>
    </w:p>
    <w:p>
      <w:pPr>
        <w:pStyle w:val="5"/>
        <w:tabs>
          <w:tab w:val="center" w:pos="4153"/>
          <w:tab w:val="left" w:pos="7275"/>
        </w:tabs>
        <w:spacing w:line="550" w:lineRule="exact"/>
        <w:ind w:firstLine="640"/>
        <w:jc w:val="left"/>
        <w:rPr>
          <w:rFonts w:ascii="方正仿宋_GBK" w:eastAsia="方正仿宋_GBK"/>
          <w:sz w:val="32"/>
          <w:szCs w:val="32"/>
        </w:rPr>
      </w:pPr>
      <w:r>
        <w:rPr>
          <w:rFonts w:hint="eastAsia" w:ascii="方正楷体_GBK" w:hAnsi="方正楷体_GBK" w:eastAsia="方正楷体_GBK" w:cs="方正楷体_GBK"/>
          <w:sz w:val="32"/>
        </w:rPr>
        <w:t>（三）基本支出：</w:t>
      </w:r>
      <w:r>
        <w:rPr>
          <w:rFonts w:hint="eastAsia" w:ascii="方正仿宋_GBK" w:eastAsia="方正仿宋_GBK"/>
          <w:sz w:val="32"/>
          <w:szCs w:val="32"/>
        </w:rPr>
        <w:t>指为保障机构正常运转、完成日常工作任务而发生的人员经费和公用经费。</w:t>
      </w:r>
    </w:p>
    <w:p>
      <w:pPr>
        <w:pStyle w:val="5"/>
        <w:tabs>
          <w:tab w:val="center" w:pos="4153"/>
          <w:tab w:val="left" w:pos="7275"/>
        </w:tabs>
        <w:spacing w:line="550" w:lineRule="exact"/>
        <w:ind w:firstLine="640"/>
        <w:jc w:val="left"/>
        <w:rPr>
          <w:rFonts w:ascii="方正仿宋_GBK" w:eastAsia="方正仿宋_GBK"/>
          <w:sz w:val="32"/>
          <w:szCs w:val="32"/>
        </w:rPr>
      </w:pPr>
      <w:r>
        <w:rPr>
          <w:rFonts w:hint="eastAsia" w:ascii="方正楷体_GBK" w:hAnsi="方正楷体_GBK" w:eastAsia="方正楷体_GBK" w:cs="方正楷体_GBK"/>
          <w:sz w:val="32"/>
        </w:rPr>
        <w:t>（四）项目支出：</w:t>
      </w:r>
      <w:r>
        <w:rPr>
          <w:rFonts w:hint="eastAsia" w:ascii="方正仿宋_GBK" w:eastAsia="方正仿宋_GBK"/>
          <w:sz w:val="32"/>
          <w:szCs w:val="32"/>
        </w:rPr>
        <w:t>指在基本支出之外为完成特定行政任务和事业发展目标所发生的支出。</w:t>
      </w:r>
    </w:p>
    <w:p>
      <w:pPr>
        <w:spacing w:line="550" w:lineRule="exact"/>
        <w:ind w:firstLine="640" w:firstLineChars="200"/>
        <w:rPr>
          <w:rFonts w:ascii="方正仿宋_GBK" w:hAnsi="仿宋_GB2312" w:eastAsia="方正仿宋_GBK" w:cs="仿宋_GB2312"/>
          <w:color w:val="000000"/>
          <w:sz w:val="32"/>
        </w:rPr>
      </w:pPr>
      <w:r>
        <w:rPr>
          <w:rFonts w:hint="eastAsia" w:ascii="方正楷体_GBK" w:hAnsi="方正楷体_GBK" w:eastAsia="方正楷体_GBK" w:cs="方正楷体_GBK"/>
          <w:sz w:val="32"/>
        </w:rPr>
        <w:t>（五）“三公”经费：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50" w:lineRule="exact"/>
        <w:ind w:firstLine="643" w:firstLineChars="200"/>
        <w:rPr>
          <w:rFonts w:ascii="仿宋_GB2312" w:hAnsi="仿宋_GB2312" w:eastAsia="仿宋_GB2312" w:cs="仿宋_GB2312"/>
          <w:b/>
          <w:sz w:val="32"/>
        </w:rPr>
      </w:pPr>
      <w:r>
        <w:rPr>
          <w:rFonts w:hint="eastAsia" w:ascii="方正仿宋_GBK" w:hAnsi="仿宋_GB2312" w:eastAsia="方正仿宋_GBK" w:cs="仿宋_GB2312"/>
          <w:b/>
          <w:sz w:val="32"/>
        </w:rPr>
        <w:t>部门预算公开联系人：高航；联系方式：18580992526</w:t>
      </w:r>
    </w:p>
    <w:p/>
    <w:sectPr>
      <w:footerReference r:id="rId4" w:type="default"/>
      <w:pgSz w:w="11906" w:h="16838"/>
      <w:pgMar w:top="2098" w:right="1474" w:bottom="1984"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10" w:usb3="00000000" w:csb0="0004009F"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18"/>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36440408">
    <w:nsid w:val="677FFA58"/>
    <w:multiLevelType w:val="singleLevel"/>
    <w:tmpl w:val="677FFA58"/>
    <w:lvl w:ilvl="0" w:tentative="1">
      <w:start w:val="4"/>
      <w:numFmt w:val="chineseCounting"/>
      <w:suff w:val="nothing"/>
      <w:lvlText w:val="（%1）"/>
      <w:lvlJc w:val="left"/>
      <w:rPr>
        <w:rFonts w:hint="eastAsia"/>
      </w:rPr>
    </w:lvl>
  </w:abstractNum>
  <w:num w:numId="1">
    <w:abstractNumId w:val="17364404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1F5F4A94"/>
    <w:rsid w:val="00256B56"/>
    <w:rsid w:val="004958E1"/>
    <w:rsid w:val="00531C05"/>
    <w:rsid w:val="00FE4F05"/>
    <w:rsid w:val="09C10D3E"/>
    <w:rsid w:val="0B6F470C"/>
    <w:rsid w:val="1B9F56F1"/>
    <w:rsid w:val="1D6628F1"/>
    <w:rsid w:val="1F5F4A94"/>
    <w:rsid w:val="20A01302"/>
    <w:rsid w:val="2D83304B"/>
    <w:rsid w:val="30B5176D"/>
    <w:rsid w:val="484F3DFE"/>
    <w:rsid w:val="4BC808CD"/>
    <w:rsid w:val="54B5148C"/>
    <w:rsid w:val="56E95A63"/>
    <w:rsid w:val="5AA24261"/>
    <w:rsid w:val="5EAE7678"/>
    <w:rsid w:val="6A495D4E"/>
    <w:rsid w:val="6DB84A02"/>
    <w:rsid w:val="716F53C5"/>
    <w:rsid w:val="71B8501F"/>
    <w:rsid w:val="735E4456"/>
    <w:rsid w:val="7C2A790D"/>
    <w:rsid w:val="7FA2248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unhideWhenUsed/>
    <w:uiPriority w:val="1"/>
  </w:style>
  <w:style w:type="table" w:default="1" w:styleId="4">
    <w:name w:val="Normal Table"/>
    <w:unhideWhenUsed/>
    <w:uiPriority w:val="99"/>
    <w:tblPr>
      <w:tblStyle w:val="4"/>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Micorosoft</Company>
  <Pages>4</Pages>
  <Words>281</Words>
  <Characters>1606</Characters>
  <Lines>13</Lines>
  <Paragraphs>3</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2025-01-14T09:12:00Z</dcterms:created>
  <dc:creator>！</dc:creator>
  <cp:lastModifiedBy>张涛</cp:lastModifiedBy>
  <dcterms:modified xsi:type="dcterms:W3CDTF">2025-03-13T01:43:31Z</dcterms:modified>
  <dc:title>彭水苗族土家族数字化城市运行和治理中心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AC245BDC0C8645F38CCF467487C46C44_13</vt:lpwstr>
  </property>
  <property fmtid="{D5CDD505-2E9C-101B-9397-08002B2CF9AE}" pid="4" name="KSOTemplateDocerSaveRecord">
    <vt:lpwstr>eyJoZGlkIjoiNDU3N2ZmN2RiODgzMjU3ZTExODNhYTI3MmRmYWY2MjkiLCJ1c2VySWQiOiIxNTQ4NzM5NzQ0In0=</vt:lpwstr>
  </property>
</Properties>
</file>