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firstLine="0" w:firstLineChars="0"/>
        <w:jc w:val="cente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彭水苗族土家族自治县大同镇污水处理厂新建</w:t>
      </w:r>
      <w: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工程入河排污口设置论证报告</w:t>
      </w:r>
    </w:p>
    <w:p>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pPr>
        <w:widowControl/>
        <w:ind w:left="850" w:leftChars="354" w:firstLine="0" w:firstLineChars="0"/>
        <w:jc w:val="left"/>
        <w:rPr>
          <w:rFonts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建设单位：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重庆环投渝东南环境治理有限公司</w:t>
      </w:r>
    </w:p>
    <w:p>
      <w:pPr>
        <w:widowControl/>
        <w:ind w:left="850" w:leftChars="354" w:firstLine="0" w:firstLineChars="0"/>
        <w:jc w:val="left"/>
        <w:rPr>
          <w:rFonts w:ascii="宋体" w:hAnsi="宋体" w:cs="Times New Roman"/>
          <w:color w:val="000000" w:themeColor="text1"/>
          <w:sz w:val="36"/>
          <w:szCs w:val="36"/>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编制单位：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重庆新天地环境检测技术有限公司</w:t>
      </w:r>
    </w:p>
    <w:p>
      <w:pPr>
        <w:widowControl/>
        <w:ind w:firstLine="0" w:firstLineChars="0"/>
        <w:jc w:val="center"/>
        <w:rPr>
          <w:rFonts w:ascii="宋体" w:hAnsi="宋体" w:cs="Times New Roman"/>
          <w:color w:val="000000" w:themeColor="text1"/>
          <w:sz w:val="36"/>
          <w:szCs w:val="36"/>
          <w14:textFill>
            <w14:solidFill>
              <w14:schemeClr w14:val="tx1"/>
            </w14:solidFill>
          </w14:textFill>
        </w:rPr>
      </w:pP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二〇二</w:t>
      </w:r>
      <w:r>
        <w:rPr>
          <w:rFonts w:hint="eastAsia"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四</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年</w:t>
      </w:r>
      <w:r>
        <w:rPr>
          <w:rFonts w:hint="eastAsia"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十一</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月</w:t>
      </w:r>
    </w:p>
    <w:p>
      <w:pPr>
        <w:ind w:firstLine="480"/>
        <w:rPr>
          <w:color w:val="000000" w:themeColor="text1"/>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ind w:firstLine="0" w:firstLineChars="0"/>
        <w:jc w:val="center"/>
        <w:rPr>
          <w:b/>
          <w:color w:val="000000" w:themeColor="text1"/>
          <w:sz w:val="32"/>
          <w:szCs w:val="32"/>
          <w14:textFill>
            <w14:solidFill>
              <w14:schemeClr w14:val="tx1"/>
            </w14:solidFill>
          </w14:textFill>
        </w:rPr>
      </w:pPr>
    </w:p>
    <w:p>
      <w:pPr>
        <w:ind w:firstLine="0" w:firstLineChars="0"/>
        <w:jc w:val="center"/>
        <w:rPr>
          <w:b/>
          <w:color w:val="000000" w:themeColor="text1"/>
          <w:sz w:val="32"/>
          <w:szCs w:val="32"/>
          <w14:textFill>
            <w14:solidFill>
              <w14:schemeClr w14:val="tx1"/>
            </w14:solidFill>
          </w14:textFill>
        </w:rPr>
      </w:pPr>
    </w:p>
    <w:p>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彭水苗族土家族自治县大同镇污水处理厂新建工程</w:t>
      </w:r>
    </w:p>
    <w:p>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入河排污口设置论证报告</w:t>
      </w:r>
    </w:p>
    <w:p>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编制人员名单</w:t>
      </w:r>
    </w:p>
    <w:p>
      <w:pPr>
        <w:ind w:firstLine="0" w:firstLineChars="0"/>
        <w:jc w:val="center"/>
        <w:rPr>
          <w:b/>
          <w:color w:val="000000" w:themeColor="text1"/>
          <w:sz w:val="32"/>
          <w:szCs w:val="32"/>
          <w14:textFill>
            <w14:solidFill>
              <w14:schemeClr w14:val="tx1"/>
            </w14:solidFill>
          </w14:textFill>
        </w:rPr>
      </w:pPr>
    </w:p>
    <w:p>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项目负责人：</w:t>
      </w:r>
    </w:p>
    <w:p>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技术负责人：</w:t>
      </w:r>
    </w:p>
    <w:p>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校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 xml:space="preserve">   核：</w:t>
      </w:r>
    </w:p>
    <w:p>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报 告  编 制：</w:t>
      </w:r>
    </w:p>
    <w:p>
      <w:pPr>
        <w:ind w:firstLine="0" w:firstLineChars="0"/>
        <w:rPr>
          <w:color w:val="000000" w:themeColor="text1"/>
          <w14:textFill>
            <w14:solidFill>
              <w14:schemeClr w14:val="tx1"/>
            </w14:solidFill>
          </w14:textFill>
        </w:rPr>
      </w:pPr>
    </w:p>
    <w:p>
      <w:pPr>
        <w:ind w:firstLine="480"/>
        <w:rPr>
          <w:color w:val="000000" w:themeColor="text1"/>
          <w14:textFill>
            <w14:solidFill>
              <w14:schemeClr w14:val="tx1"/>
            </w14:solidFill>
          </w14:textFill>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cols w:space="425" w:num="1"/>
          <w:docGrid w:type="lines" w:linePitch="312" w:charSpace="0"/>
        </w:sectPr>
      </w:pPr>
    </w:p>
    <w:p>
      <w:pPr>
        <w:ind w:firstLine="618"/>
        <w:jc w:val="center"/>
        <w:rPr>
          <w:b/>
          <w:color w:val="000000" w:themeColor="text1"/>
          <w:w w:val="96"/>
          <w:sz w:val="32"/>
          <w:szCs w:val="32"/>
          <w14:textFill>
            <w14:solidFill>
              <w14:schemeClr w14:val="tx1"/>
            </w14:solidFill>
          </w14:textFill>
        </w:rPr>
      </w:pPr>
      <w:bookmarkStart w:id="0" w:name="_Toc141105553"/>
      <w:r>
        <w:rPr>
          <w:rFonts w:hint="eastAsia"/>
          <w:b/>
          <w:color w:val="000000" w:themeColor="text1"/>
          <w:w w:val="96"/>
          <w:sz w:val="32"/>
          <w:szCs w:val="32"/>
          <w14:textFill>
            <w14:solidFill>
              <w14:schemeClr w14:val="tx1"/>
            </w14:solidFill>
          </w14:textFill>
        </w:rPr>
        <w:t>彭水苗族土家族自治县大同镇污水处理厂新建工程</w:t>
      </w:r>
    </w:p>
    <w:p>
      <w:pPr>
        <w:ind w:firstLine="618"/>
        <w:jc w:val="center"/>
        <w:rPr>
          <w:b/>
          <w:color w:val="000000" w:themeColor="text1"/>
          <w:w w:val="96"/>
          <w:sz w:val="32"/>
          <w:szCs w:val="32"/>
          <w14:textFill>
            <w14:solidFill>
              <w14:schemeClr w14:val="tx1"/>
            </w14:solidFill>
          </w14:textFill>
        </w:rPr>
      </w:pPr>
      <w:r>
        <w:rPr>
          <w:rFonts w:hint="eastAsia"/>
          <w:b/>
          <w:color w:val="000000" w:themeColor="text1"/>
          <w:w w:val="96"/>
          <w:sz w:val="32"/>
          <w:szCs w:val="32"/>
          <w14:textFill>
            <w14:solidFill>
              <w14:schemeClr w14:val="tx1"/>
            </w14:solidFill>
          </w14:textFill>
        </w:rPr>
        <w:t>入河排污口设置论证综合说明表</w:t>
      </w:r>
      <w:bookmarkEnd w:id="0"/>
    </w:p>
    <w:tbl>
      <w:tblPr>
        <w:tblStyle w:val="2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0"/>
        <w:gridCol w:w="735"/>
        <w:gridCol w:w="283"/>
        <w:gridCol w:w="1560"/>
        <w:gridCol w:w="708"/>
        <w:gridCol w:w="1164"/>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单位名称</w:t>
            </w: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重庆环投渝东南环境治理有限公司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单位地址</w:t>
            </w: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重庆市黔江区城东街道新华大道东段168号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shd w:val="clear" w:color="auto" w:fill="auto"/>
            <w:vAlign w:val="center"/>
          </w:tcPr>
          <w:p>
            <w:pPr>
              <w:pStyle w:val="58"/>
              <w:rPr>
                <w:color w:val="000000" w:themeColor="text1"/>
                <w:spacing w:val="-5"/>
                <w:kern w:val="0"/>
                <w:sz w:val="20"/>
                <w14:textFill>
                  <w14:solidFill>
                    <w14:schemeClr w14:val="tx1"/>
                  </w14:solidFill>
                </w14:textFill>
              </w:rPr>
            </w:pPr>
            <w:r>
              <w:rPr>
                <w:color w:val="000000" w:themeColor="text1"/>
                <w:spacing w:val="-5"/>
                <w:kern w:val="0"/>
                <w:sz w:val="20"/>
                <w14:textFill>
                  <w14:solidFill>
                    <w14:schemeClr w14:val="tx1"/>
                  </w14:solidFill>
                </w14:textFill>
              </w:rPr>
              <w:t>排污口设置类型</w:t>
            </w:r>
          </w:p>
        </w:tc>
        <w:tc>
          <w:tcPr>
            <w:tcW w:w="1250" w:type="dxa"/>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新建</w:t>
            </w:r>
          </w:p>
        </w:tc>
        <w:tc>
          <w:tcPr>
            <w:tcW w:w="1018" w:type="dxa"/>
            <w:gridSpan w:val="2"/>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w:t>
            </w:r>
          </w:p>
        </w:tc>
        <w:tc>
          <w:tcPr>
            <w:tcW w:w="1560" w:type="dxa"/>
            <w:vMerge w:val="restart"/>
            <w:shd w:val="clear" w:color="auto" w:fill="auto"/>
            <w:vAlign w:val="center"/>
          </w:tcPr>
          <w:p>
            <w:pPr>
              <w:pStyle w:val="58"/>
              <w:rPr>
                <w:color w:val="000000" w:themeColor="text1"/>
                <w:spacing w:val="-5"/>
                <w:kern w:val="0"/>
                <w:sz w:val="20"/>
                <w14:textFill>
                  <w14:solidFill>
                    <w14:schemeClr w14:val="tx1"/>
                  </w14:solidFill>
                </w14:textFill>
              </w:rPr>
            </w:pPr>
            <w:r>
              <w:rPr>
                <w:color w:val="000000" w:themeColor="text1"/>
                <w:spacing w:val="-5"/>
                <w:kern w:val="0"/>
                <w:sz w:val="20"/>
                <w14:textFill>
                  <w14:solidFill>
                    <w14:schemeClr w14:val="tx1"/>
                  </w14:solidFill>
                </w14:textFill>
              </w:rPr>
              <w:t>排污口分类</w:t>
            </w:r>
          </w:p>
        </w:tc>
        <w:tc>
          <w:tcPr>
            <w:tcW w:w="1872" w:type="dxa"/>
            <w:gridSpan w:val="2"/>
            <w:shd w:val="clear" w:color="auto" w:fill="auto"/>
            <w:vAlign w:val="center"/>
          </w:tcPr>
          <w:p>
            <w:pPr>
              <w:pStyle w:val="58"/>
              <w:rPr>
                <w:color w:val="000000" w:themeColor="text1"/>
                <w:spacing w:val="-5"/>
                <w:kern w:val="0"/>
                <w:sz w:val="20"/>
                <w14:textFill>
                  <w14:solidFill>
                    <w14:schemeClr w14:val="tx1"/>
                  </w14:solidFill>
                </w14:textFill>
              </w:rPr>
            </w:pPr>
            <w:r>
              <w:rPr>
                <w:color w:val="000000" w:themeColor="text1"/>
                <w:spacing w:val="-5"/>
                <w:kern w:val="0"/>
                <w:sz w:val="20"/>
                <w14:textFill>
                  <w14:solidFill>
                    <w14:schemeClr w14:val="tx1"/>
                  </w14:solidFill>
                </w14:textFill>
              </w:rPr>
              <w:t>企业</w:t>
            </w:r>
          </w:p>
        </w:tc>
        <w:tc>
          <w:tcPr>
            <w:tcW w:w="1467" w:type="dxa"/>
            <w:shd w:val="clear" w:color="auto" w:fill="auto"/>
            <w:vAlign w:val="center"/>
          </w:tcPr>
          <w:p>
            <w:pPr>
              <w:pStyle w:val="58"/>
              <w:rPr>
                <w:color w:val="000000" w:themeColor="text1"/>
                <w:spacing w:val="-5"/>
                <w:kern w:val="0"/>
                <w:sz w:val="20"/>
                <w14:textFill>
                  <w14:solidFill>
                    <w14:schemeClr w14:val="tx1"/>
                  </w14:solidFill>
                </w14:textFill>
              </w:rPr>
            </w:pPr>
            <w:r>
              <w:rPr>
                <w:rFonts w:hint="eastAsia"/>
                <w:color w:val="000000" w:themeColor="text1"/>
                <w:spacing w:val="-5"/>
                <w:kern w:val="0"/>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shd w:val="clear" w:color="auto" w:fill="auto"/>
            <w:vAlign w:val="center"/>
          </w:tcPr>
          <w:p>
            <w:pPr>
              <w:pStyle w:val="58"/>
              <w:rPr>
                <w:color w:val="000000" w:themeColor="text1"/>
                <w:spacing w:val="-5"/>
                <w:kern w:val="0"/>
                <w:sz w:val="20"/>
                <w14:textFill>
                  <w14:solidFill>
                    <w14:schemeClr w14:val="tx1"/>
                  </w14:solidFill>
                </w14:textFill>
              </w:rPr>
            </w:pPr>
          </w:p>
        </w:tc>
        <w:tc>
          <w:tcPr>
            <w:tcW w:w="1250" w:type="dxa"/>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改建</w:t>
            </w:r>
          </w:p>
        </w:tc>
        <w:tc>
          <w:tcPr>
            <w:tcW w:w="1018" w:type="dxa"/>
            <w:gridSpan w:val="2"/>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560" w:type="dxa"/>
            <w:vMerge w:val="continue"/>
            <w:shd w:val="clear" w:color="auto" w:fill="auto"/>
            <w:vAlign w:val="center"/>
          </w:tcPr>
          <w:p>
            <w:pPr>
              <w:pStyle w:val="58"/>
              <w:rPr>
                <w:color w:val="000000" w:themeColor="text1"/>
                <w:spacing w:val="-5"/>
                <w:kern w:val="0"/>
                <w:sz w:val="20"/>
                <w14:textFill>
                  <w14:solidFill>
                    <w14:schemeClr w14:val="tx1"/>
                  </w14:solidFill>
                </w14:textFill>
              </w:rPr>
            </w:pPr>
          </w:p>
        </w:tc>
        <w:tc>
          <w:tcPr>
            <w:tcW w:w="1872" w:type="dxa"/>
            <w:gridSpan w:val="2"/>
            <w:shd w:val="clear" w:color="auto" w:fill="auto"/>
            <w:vAlign w:val="center"/>
          </w:tcPr>
          <w:p>
            <w:pPr>
              <w:pStyle w:val="58"/>
              <w:rPr>
                <w:color w:val="000000" w:themeColor="text1"/>
                <w:spacing w:val="-5"/>
                <w:kern w:val="0"/>
                <w:sz w:val="20"/>
                <w14:textFill>
                  <w14:solidFill>
                    <w14:schemeClr w14:val="tx1"/>
                  </w14:solidFill>
                </w14:textFill>
              </w:rPr>
            </w:pPr>
            <w:r>
              <w:rPr>
                <w:color w:val="000000" w:themeColor="text1"/>
                <w:spacing w:val="-5"/>
                <w:kern w:val="0"/>
                <w:sz w:val="20"/>
                <w14:textFill>
                  <w14:solidFill>
                    <w14:schemeClr w14:val="tx1"/>
                  </w14:solidFill>
                </w14:textFill>
              </w:rPr>
              <w:t>市政</w:t>
            </w:r>
          </w:p>
        </w:tc>
        <w:tc>
          <w:tcPr>
            <w:tcW w:w="1467" w:type="dxa"/>
            <w:shd w:val="clear" w:color="auto" w:fill="auto"/>
            <w:vAlign w:val="center"/>
          </w:tcPr>
          <w:p>
            <w:pPr>
              <w:pStyle w:val="58"/>
              <w:rPr>
                <w:color w:val="000000" w:themeColor="text1"/>
                <w:spacing w:val="-5"/>
                <w:kern w:val="0"/>
                <w:sz w:val="20"/>
                <w14:textFill>
                  <w14:solidFill>
                    <w14:schemeClr w14:val="tx1"/>
                  </w14:solidFill>
                </w14:textFill>
              </w:rPr>
            </w:pPr>
            <w:r>
              <w:rPr>
                <w:color w:val="000000" w:themeColor="text1"/>
                <w:spacing w:val="-5"/>
                <w:kern w:val="0"/>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shd w:val="clear" w:color="auto" w:fill="auto"/>
            <w:vAlign w:val="center"/>
          </w:tcPr>
          <w:p>
            <w:pPr>
              <w:pStyle w:val="58"/>
              <w:rPr>
                <w:color w:val="000000" w:themeColor="text1"/>
                <w:spacing w:val="-5"/>
                <w:kern w:val="0"/>
                <w:sz w:val="20"/>
                <w14:textFill>
                  <w14:solidFill>
                    <w14:schemeClr w14:val="tx1"/>
                  </w14:solidFill>
                </w14:textFill>
              </w:rPr>
            </w:pPr>
          </w:p>
        </w:tc>
        <w:tc>
          <w:tcPr>
            <w:tcW w:w="1250" w:type="dxa"/>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扩建</w:t>
            </w:r>
          </w:p>
        </w:tc>
        <w:tc>
          <w:tcPr>
            <w:tcW w:w="1018" w:type="dxa"/>
            <w:gridSpan w:val="2"/>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560" w:type="dxa"/>
            <w:vMerge w:val="continue"/>
            <w:shd w:val="clear" w:color="auto" w:fill="auto"/>
            <w:vAlign w:val="center"/>
          </w:tcPr>
          <w:p>
            <w:pPr>
              <w:pStyle w:val="58"/>
              <w:rPr>
                <w:color w:val="000000" w:themeColor="text1"/>
                <w:spacing w:val="-5"/>
                <w:kern w:val="0"/>
                <w:sz w:val="20"/>
                <w14:textFill>
                  <w14:solidFill>
                    <w14:schemeClr w14:val="tx1"/>
                  </w14:solidFill>
                </w14:textFill>
              </w:rPr>
            </w:pPr>
          </w:p>
        </w:tc>
        <w:tc>
          <w:tcPr>
            <w:tcW w:w="1872" w:type="dxa"/>
            <w:gridSpan w:val="2"/>
            <w:shd w:val="clear" w:color="auto" w:fill="auto"/>
            <w:vAlign w:val="center"/>
          </w:tcPr>
          <w:p>
            <w:pPr>
              <w:pStyle w:val="58"/>
              <w:rPr>
                <w:color w:val="000000" w:themeColor="text1"/>
                <w:spacing w:val="-5"/>
                <w:kern w:val="0"/>
                <w:sz w:val="20"/>
                <w14:textFill>
                  <w14:solidFill>
                    <w14:schemeClr w14:val="tx1"/>
                  </w14:solidFill>
                </w14:textFill>
              </w:rPr>
            </w:pPr>
            <w:r>
              <w:rPr>
                <w:color w:val="000000" w:themeColor="text1"/>
                <w:spacing w:val="-5"/>
                <w:kern w:val="0"/>
                <w:sz w:val="20"/>
                <w14:textFill>
                  <w14:solidFill>
                    <w14:schemeClr w14:val="tx1"/>
                  </w14:solidFill>
                </w14:textFill>
              </w:rPr>
              <w:t>其它</w:t>
            </w:r>
          </w:p>
        </w:tc>
        <w:tc>
          <w:tcPr>
            <w:tcW w:w="1467" w:type="dxa"/>
            <w:shd w:val="clear" w:color="auto" w:fill="auto"/>
            <w:vAlign w:val="center"/>
          </w:tcPr>
          <w:p>
            <w:pPr>
              <w:pStyle w:val="58"/>
              <w:rPr>
                <w:color w:val="000000" w:themeColor="text1"/>
                <w:spacing w:val="-5"/>
                <w:kern w:val="0"/>
                <w:sz w:val="20"/>
                <w14:textFill>
                  <w14:solidFill>
                    <w14:schemeClr w14:val="tx1"/>
                  </w14:solidFill>
                </w14:textFill>
              </w:rPr>
            </w:pPr>
            <w:r>
              <w:rPr>
                <w:rFonts w:hint="eastAsia"/>
                <w:color w:val="000000" w:themeColor="text1"/>
                <w:spacing w:val="-5"/>
                <w:kern w:val="0"/>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shd w:val="clear" w:color="auto" w:fill="auto"/>
            <w:vAlign w:val="center"/>
          </w:tcPr>
          <w:p>
            <w:pPr>
              <w:pStyle w:val="58"/>
              <w:rPr>
                <w:color w:val="000000" w:themeColor="text1"/>
                <w:spacing w:val="-5"/>
                <w:kern w:val="0"/>
                <w:sz w:val="20"/>
                <w14:textFill>
                  <w14:solidFill>
                    <w14:schemeClr w14:val="tx1"/>
                  </w14:solidFill>
                </w14:textFill>
              </w:rPr>
            </w:pPr>
            <w:r>
              <w:rPr>
                <w:color w:val="000000" w:themeColor="text1"/>
                <w:spacing w:val="-5"/>
                <w:kern w:val="0"/>
                <w:sz w:val="20"/>
                <w14:textFill>
                  <w14:solidFill>
                    <w14:schemeClr w14:val="tx1"/>
                  </w14:solidFill>
                </w14:textFill>
              </w:rPr>
              <w:t>排放方式</w:t>
            </w:r>
          </w:p>
        </w:tc>
        <w:tc>
          <w:tcPr>
            <w:tcW w:w="1250" w:type="dxa"/>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连续</w:t>
            </w:r>
          </w:p>
        </w:tc>
        <w:tc>
          <w:tcPr>
            <w:tcW w:w="1018" w:type="dxa"/>
            <w:gridSpan w:val="2"/>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w:t>
            </w:r>
          </w:p>
        </w:tc>
        <w:tc>
          <w:tcPr>
            <w:tcW w:w="1560" w:type="dxa"/>
            <w:vMerge w:val="restart"/>
            <w:shd w:val="clear" w:color="auto" w:fill="auto"/>
            <w:vAlign w:val="center"/>
          </w:tcPr>
          <w:p>
            <w:pPr>
              <w:pStyle w:val="58"/>
              <w:rPr>
                <w:color w:val="000000" w:themeColor="text1"/>
                <w:spacing w:val="-5"/>
                <w:kern w:val="0"/>
                <w:sz w:val="20"/>
                <w14:textFill>
                  <w14:solidFill>
                    <w14:schemeClr w14:val="tx1"/>
                  </w14:solidFill>
                </w14:textFill>
              </w:rPr>
            </w:pPr>
            <w:r>
              <w:rPr>
                <w:color w:val="000000" w:themeColor="text1"/>
                <w:spacing w:val="-5"/>
                <w:kern w:val="0"/>
                <w:sz w:val="20"/>
                <w14:textFill>
                  <w14:solidFill>
                    <w14:schemeClr w14:val="tx1"/>
                  </w14:solidFill>
                </w14:textFill>
              </w:rPr>
              <w:t>入河方式</w:t>
            </w:r>
          </w:p>
        </w:tc>
        <w:tc>
          <w:tcPr>
            <w:tcW w:w="3339" w:type="dxa"/>
            <w:gridSpan w:val="3"/>
            <w:vMerge w:val="restart"/>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明渠（）管道（√）</w:t>
            </w:r>
          </w:p>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泵站（）、涵闸（）</w:t>
            </w:r>
          </w:p>
          <w:p>
            <w:pPr>
              <w:pStyle w:val="58"/>
              <w:rPr>
                <w:color w:val="000000" w:themeColor="text1"/>
                <w:spacing w:val="-5"/>
                <w:kern w:val="0"/>
                <w:sz w:val="20"/>
                <w14:textFill>
                  <w14:solidFill>
                    <w14:schemeClr w14:val="tx1"/>
                  </w14:solidFill>
                </w14:textFill>
              </w:rPr>
            </w:pPr>
            <w:r>
              <w:rPr>
                <w:color w:val="000000" w:themeColor="text1"/>
                <w:kern w:val="0"/>
                <w:sz w:val="20"/>
                <w14:textFill>
                  <w14:solidFill>
                    <w14:schemeClr w14:val="tx1"/>
                  </w14:solidFill>
                </w14:textFill>
              </w:rPr>
              <w:t>潜没（）、其他（）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shd w:val="clear" w:color="auto" w:fill="auto"/>
            <w:vAlign w:val="center"/>
          </w:tcPr>
          <w:p>
            <w:pPr>
              <w:pStyle w:val="58"/>
              <w:rPr>
                <w:color w:val="000000" w:themeColor="text1"/>
                <w:kern w:val="0"/>
                <w:sz w:val="20"/>
                <w14:textFill>
                  <w14:solidFill>
                    <w14:schemeClr w14:val="tx1"/>
                  </w14:solidFill>
                </w14:textFill>
              </w:rPr>
            </w:pPr>
          </w:p>
        </w:tc>
        <w:tc>
          <w:tcPr>
            <w:tcW w:w="1250" w:type="dxa"/>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间歇</w:t>
            </w:r>
          </w:p>
        </w:tc>
        <w:tc>
          <w:tcPr>
            <w:tcW w:w="1018" w:type="dxa"/>
            <w:gridSpan w:val="2"/>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w:t>
            </w:r>
          </w:p>
        </w:tc>
        <w:tc>
          <w:tcPr>
            <w:tcW w:w="1560" w:type="dxa"/>
            <w:vMerge w:val="continue"/>
            <w:shd w:val="clear" w:color="auto" w:fill="auto"/>
          </w:tcPr>
          <w:p>
            <w:pPr>
              <w:pStyle w:val="58"/>
              <w:rPr>
                <w:color w:val="000000" w:themeColor="text1"/>
                <w:kern w:val="0"/>
                <w:sz w:val="20"/>
                <w14:textFill>
                  <w14:solidFill>
                    <w14:schemeClr w14:val="tx1"/>
                  </w14:solidFill>
                </w14:textFill>
              </w:rPr>
            </w:pPr>
          </w:p>
        </w:tc>
        <w:tc>
          <w:tcPr>
            <w:tcW w:w="3339" w:type="dxa"/>
            <w:gridSpan w:val="3"/>
            <w:vMerge w:val="continue"/>
            <w:shd w:val="clear" w:color="auto" w:fill="auto"/>
          </w:tcPr>
          <w:p>
            <w:pPr>
              <w:pStyle w:val="58"/>
              <w:rPr>
                <w:color w:val="000000" w:themeColor="text1"/>
                <w:kern w:val="0"/>
                <w:sz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shd w:val="clear" w:color="auto" w:fill="auto"/>
            <w:vAlign w:val="center"/>
          </w:tcPr>
          <w:p>
            <w:pPr>
              <w:pStyle w:val="58"/>
              <w:rPr>
                <w:color w:val="000000" w:themeColor="text1"/>
                <w:spacing w:val="-13"/>
                <w:kern w:val="0"/>
                <w:sz w:val="20"/>
                <w14:textFill>
                  <w14:solidFill>
                    <w14:schemeClr w14:val="tx1"/>
                  </w14:solidFill>
                </w14:textFill>
              </w:rPr>
            </w:pPr>
            <w:r>
              <w:rPr>
                <w:color w:val="000000" w:themeColor="text1"/>
                <w:spacing w:val="-13"/>
                <w:kern w:val="0"/>
                <w:sz w:val="20"/>
                <w14:textFill>
                  <w14:solidFill>
                    <w14:schemeClr w14:val="tx1"/>
                  </w14:solidFill>
                </w14:textFill>
              </w:rPr>
              <w:t>排污口位置</w:t>
            </w: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所在位置：</w:t>
            </w:r>
            <w:r>
              <w:rPr>
                <w:rFonts w:hint="eastAsia"/>
                <w:color w:val="000000" w:themeColor="text1"/>
                <w:kern w:val="0"/>
                <w:sz w:val="20"/>
                <w14:textFill>
                  <w14:solidFill>
                    <w14:schemeClr w14:val="tx1"/>
                  </w14:solidFill>
                </w14:textFill>
              </w:rPr>
              <w:t>诸佛江右岸，污水处理厂南侧小溪沟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shd w:val="clear" w:color="auto" w:fill="auto"/>
            <w:vAlign w:val="center"/>
          </w:tcPr>
          <w:p>
            <w:pPr>
              <w:pStyle w:val="58"/>
              <w:rPr>
                <w:color w:val="000000" w:themeColor="text1"/>
                <w:spacing w:val="-13"/>
                <w:kern w:val="0"/>
                <w:sz w:val="20"/>
                <w14:textFill>
                  <w14:solidFill>
                    <w14:schemeClr w14:val="tx1"/>
                  </w14:solidFill>
                </w14:textFill>
              </w:rPr>
            </w:pP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排入水体：</w:t>
            </w:r>
            <w:r>
              <w:rPr>
                <w:rFonts w:hint="eastAsia"/>
                <w:color w:val="000000" w:themeColor="text1"/>
                <w:kern w:val="0"/>
                <w:sz w:val="20"/>
                <w14:textFill>
                  <w14:solidFill>
                    <w14:schemeClr w14:val="tx1"/>
                  </w14:solidFill>
                </w14:textFill>
              </w:rPr>
              <w:t>诸佛江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shd w:val="clear" w:color="auto" w:fill="auto"/>
            <w:vAlign w:val="center"/>
          </w:tcPr>
          <w:p>
            <w:pPr>
              <w:pStyle w:val="58"/>
              <w:rPr>
                <w:color w:val="000000" w:themeColor="text1"/>
                <w:spacing w:val="-13"/>
                <w:kern w:val="0"/>
                <w:sz w:val="20"/>
                <w14:textFill>
                  <w14:solidFill>
                    <w14:schemeClr w14:val="tx1"/>
                  </w14:solidFill>
                </w14:textFill>
              </w:rPr>
            </w:pPr>
          </w:p>
        </w:tc>
        <w:tc>
          <w:tcPr>
            <w:tcW w:w="7167" w:type="dxa"/>
            <w:gridSpan w:val="7"/>
            <w:shd w:val="clear" w:color="auto" w:fill="auto"/>
            <w:vAlign w:val="center"/>
          </w:tcPr>
          <w:p>
            <w:pPr>
              <w:pStyle w:val="58"/>
              <w:rPr>
                <w:color w:val="000000" w:themeColor="text1"/>
                <w:spacing w:val="-13"/>
                <w:kern w:val="0"/>
                <w:sz w:val="20"/>
                <w14:textFill>
                  <w14:solidFill>
                    <w14:schemeClr w14:val="tx1"/>
                  </w14:solidFill>
                </w14:textFill>
              </w:rPr>
            </w:pPr>
            <w:r>
              <w:rPr>
                <w:rFonts w:hint="eastAsia"/>
                <w:color w:val="000000" w:themeColor="text1"/>
                <w:spacing w:val="-13"/>
                <w:kern w:val="0"/>
                <w:sz w:val="20"/>
                <w14:textFill>
                  <w14:solidFill>
                    <w14:schemeClr w14:val="tx1"/>
                  </w14:solidFill>
                </w14:textFill>
              </w:rPr>
              <w:t>东经：108.517681°，北纬：29.336179°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影响水功能区名称</w:t>
            </w: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一级水功能区划：诸佛江诸佛鹿角开发利用区，二级水功能区划：诸佛江诸佛鹿角景观娱乐用水区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水功能区管理目标</w:t>
            </w: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《地表水环境质量标准》</w:t>
            </w:r>
            <w:r>
              <w:rPr>
                <w:color w:val="000000" w:themeColor="text1"/>
                <w:spacing w:val="-2"/>
                <w:kern w:val="0"/>
                <w:sz w:val="20"/>
                <w14:textFill>
                  <w14:solidFill>
                    <w14:schemeClr w14:val="tx1"/>
                  </w14:solidFill>
                </w14:textFill>
              </w:rPr>
              <w:t>（GB 3838-2002）</w:t>
            </w:r>
            <w:r>
              <w:rPr>
                <w:rFonts w:hint="eastAsia"/>
                <w:color w:val="000000" w:themeColor="text1"/>
                <w:kern w:val="0"/>
                <w:sz w:val="20"/>
                <w14:textFill>
                  <w14:solidFill>
                    <w14:schemeClr w14:val="tx1"/>
                  </w14:solidFill>
                </w14:textFill>
              </w:rPr>
              <w:t>Ⅲ类</w:t>
            </w:r>
            <w:r>
              <w:rPr>
                <w:color w:val="000000" w:themeColor="text1"/>
                <w:kern w:val="0"/>
                <w:sz w:val="20"/>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29" w:type="dxa"/>
            <w:vMerge w:val="restart"/>
            <w:shd w:val="clear" w:color="auto" w:fill="auto"/>
            <w:vAlign w:val="center"/>
          </w:tcPr>
          <w:p>
            <w:pPr>
              <w:pStyle w:val="58"/>
              <w:rPr>
                <w:color w:val="000000" w:themeColor="text1"/>
                <w:spacing w:val="-2"/>
                <w:kern w:val="0"/>
                <w:sz w:val="20"/>
                <w14:textFill>
                  <w14:solidFill>
                    <w14:schemeClr w14:val="tx1"/>
                  </w14:solidFill>
                </w14:textFill>
              </w:rPr>
            </w:pPr>
            <w:bookmarkStart w:id="1" w:name="_Hlk103160646"/>
            <w:r>
              <w:rPr>
                <w:color w:val="000000" w:themeColor="text1"/>
                <w:spacing w:val="-2"/>
                <w:kern w:val="0"/>
                <w:sz w:val="20"/>
                <w14:textFill>
                  <w14:solidFill>
                    <w14:schemeClr w14:val="tx1"/>
                  </w14:solidFill>
                </w14:textFill>
              </w:rPr>
              <w:t>水功能区限制排放量（t/a）</w:t>
            </w:r>
          </w:p>
        </w:tc>
        <w:tc>
          <w:tcPr>
            <w:tcW w:w="1985" w:type="dxa"/>
            <w:gridSpan w:val="2"/>
            <w:vMerge w:val="restart"/>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“诸佛江诸佛鹿角景观娱乐用水区”</w:t>
            </w:r>
          </w:p>
        </w:tc>
        <w:tc>
          <w:tcPr>
            <w:tcW w:w="2551" w:type="dxa"/>
            <w:gridSpan w:val="3"/>
            <w:shd w:val="clear" w:color="auto" w:fill="auto"/>
            <w:vAlign w:val="center"/>
          </w:tcPr>
          <w:p>
            <w:pPr>
              <w:pStyle w:val="58"/>
              <w:rPr>
                <w:color w:val="000000" w:themeColor="text1"/>
                <w:kern w:val="0"/>
                <w:sz w:val="20"/>
                <w14:textFill>
                  <w14:solidFill>
                    <w14:schemeClr w14:val="tx1"/>
                  </w14:solidFill>
                </w14:textFill>
              </w:rPr>
            </w:pPr>
            <w:r>
              <w:rPr>
                <w:bCs/>
                <w:color w:val="000000" w:themeColor="text1"/>
                <w:kern w:val="0"/>
                <w:sz w:val="20"/>
                <w14:textFill>
                  <w14:solidFill>
                    <w14:schemeClr w14:val="tx1"/>
                  </w14:solidFill>
                </w14:textFill>
              </w:rPr>
              <w:t>COD</w:t>
            </w:r>
          </w:p>
        </w:tc>
        <w:tc>
          <w:tcPr>
            <w:tcW w:w="2631" w:type="dxa"/>
            <w:gridSpan w:val="2"/>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szCs w:val="21"/>
                <w14:textFill>
                  <w14:solidFill>
                    <w14:schemeClr w14:val="tx1"/>
                  </w14:solidFill>
                </w14:textFill>
              </w:rPr>
              <w:t>47.45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9" w:type="dxa"/>
            <w:vMerge w:val="continue"/>
            <w:shd w:val="clear" w:color="auto" w:fill="auto"/>
            <w:vAlign w:val="center"/>
          </w:tcPr>
          <w:p>
            <w:pPr>
              <w:pStyle w:val="58"/>
              <w:rPr>
                <w:color w:val="000000" w:themeColor="text1"/>
                <w:spacing w:val="-2"/>
                <w:kern w:val="0"/>
                <w:sz w:val="20"/>
                <w14:textFill>
                  <w14:solidFill>
                    <w14:schemeClr w14:val="tx1"/>
                  </w14:solidFill>
                </w14:textFill>
              </w:rPr>
            </w:pPr>
          </w:p>
        </w:tc>
        <w:tc>
          <w:tcPr>
            <w:tcW w:w="1985" w:type="dxa"/>
            <w:gridSpan w:val="2"/>
            <w:vMerge w:val="continue"/>
            <w:shd w:val="clear" w:color="auto" w:fill="auto"/>
            <w:vAlign w:val="center"/>
          </w:tcPr>
          <w:p>
            <w:pPr>
              <w:pStyle w:val="58"/>
              <w:rPr>
                <w:bCs/>
                <w:color w:val="000000" w:themeColor="text1"/>
                <w:kern w:val="0"/>
                <w:sz w:val="20"/>
                <w14:textFill>
                  <w14:solidFill>
                    <w14:schemeClr w14:val="tx1"/>
                  </w14:solidFill>
                </w14:textFill>
              </w:rPr>
            </w:pPr>
          </w:p>
        </w:tc>
        <w:tc>
          <w:tcPr>
            <w:tcW w:w="2551" w:type="dxa"/>
            <w:gridSpan w:val="3"/>
            <w:shd w:val="clear" w:color="auto" w:fill="auto"/>
            <w:vAlign w:val="center"/>
          </w:tcPr>
          <w:p>
            <w:pPr>
              <w:pStyle w:val="58"/>
              <w:rPr>
                <w:color w:val="000000" w:themeColor="text1"/>
                <w:kern w:val="0"/>
                <w:sz w:val="20"/>
                <w14:textFill>
                  <w14:solidFill>
                    <w14:schemeClr w14:val="tx1"/>
                  </w14:solidFill>
                </w14:textFill>
              </w:rPr>
            </w:pPr>
            <w:r>
              <w:rPr>
                <w:bCs/>
                <w:color w:val="000000" w:themeColor="text1"/>
                <w:kern w:val="0"/>
                <w:sz w:val="20"/>
                <w14:textFill>
                  <w14:solidFill>
                    <w14:schemeClr w14:val="tx1"/>
                  </w14:solidFill>
                </w14:textFill>
              </w:rPr>
              <w:t>NH</w:t>
            </w:r>
            <w:r>
              <w:rPr>
                <w:bCs/>
                <w:color w:val="000000" w:themeColor="text1"/>
                <w:kern w:val="0"/>
                <w:sz w:val="20"/>
                <w:vertAlign w:val="subscript"/>
                <w14:textFill>
                  <w14:solidFill>
                    <w14:schemeClr w14:val="tx1"/>
                  </w14:solidFill>
                </w14:textFill>
              </w:rPr>
              <w:t>3</w:t>
            </w:r>
            <w:r>
              <w:rPr>
                <w:bCs/>
                <w:color w:val="000000" w:themeColor="text1"/>
                <w:kern w:val="0"/>
                <w:sz w:val="20"/>
                <w14:textFill>
                  <w14:solidFill>
                    <w14:schemeClr w14:val="tx1"/>
                  </w14:solidFill>
                </w14:textFill>
              </w:rPr>
              <w:t>-N</w:t>
            </w:r>
          </w:p>
        </w:tc>
        <w:tc>
          <w:tcPr>
            <w:tcW w:w="2631" w:type="dxa"/>
            <w:gridSpan w:val="2"/>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szCs w:val="21"/>
                <w14:textFill>
                  <w14:solidFill>
                    <w14:schemeClr w14:val="tx1"/>
                  </w14:solidFill>
                </w14:textFill>
              </w:rPr>
              <w:t>4.75</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特征污染因子</w:t>
            </w: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BOD</w:t>
            </w:r>
            <w:r>
              <w:rPr>
                <w:color w:val="000000" w:themeColor="text1"/>
                <w:kern w:val="0"/>
                <w:sz w:val="20"/>
                <w:vertAlign w:val="subscript"/>
                <w14:textFill>
                  <w14:solidFill>
                    <w14:schemeClr w14:val="tx1"/>
                  </w14:solidFill>
                </w14:textFill>
              </w:rPr>
              <w:t>5</w:t>
            </w:r>
            <w:r>
              <w:rPr>
                <w:color w:val="000000" w:themeColor="text1"/>
                <w:kern w:val="0"/>
                <w:sz w:val="20"/>
                <w14:textFill>
                  <w14:solidFill>
                    <w14:schemeClr w14:val="tx1"/>
                  </w14:solidFill>
                </w14:textFill>
              </w:rPr>
              <w:t>、COD、TN、NH</w:t>
            </w:r>
            <w:r>
              <w:rPr>
                <w:color w:val="000000" w:themeColor="text1"/>
                <w:kern w:val="0"/>
                <w:sz w:val="20"/>
                <w:vertAlign w:val="subscript"/>
                <w14:textFill>
                  <w14:solidFill>
                    <w14:schemeClr w14:val="tx1"/>
                  </w14:solidFill>
                </w14:textFill>
              </w:rPr>
              <w:t>3</w:t>
            </w:r>
            <w:r>
              <w:rPr>
                <w:color w:val="000000" w:themeColor="text1"/>
                <w:kern w:val="0"/>
                <w:sz w:val="20"/>
                <w14:textFill>
                  <w14:solidFill>
                    <w14:schemeClr w14:val="tx1"/>
                  </w14:solidFill>
                </w14:textFill>
              </w:rPr>
              <w:t>-N、TP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污水来源</w:t>
            </w: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大同镇场镇生活污水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污水处理工艺及规模</w:t>
            </w:r>
          </w:p>
        </w:tc>
        <w:tc>
          <w:tcPr>
            <w:tcW w:w="3828" w:type="dxa"/>
            <w:gridSpan w:val="4"/>
            <w:shd w:val="clear" w:color="auto" w:fill="auto"/>
            <w:vAlign w:val="center"/>
          </w:tcPr>
          <w:p>
            <w:pPr>
              <w:pStyle w:val="58"/>
              <w:rPr>
                <w:color w:val="000000" w:themeColor="text1"/>
                <w:kern w:val="0"/>
                <w:sz w:val="20"/>
                <w14:textFill>
                  <w14:solidFill>
                    <w14:schemeClr w14:val="tx1"/>
                  </w14:solidFill>
                </w14:textFill>
              </w:rPr>
            </w:pPr>
            <w:r>
              <w:rPr>
                <w:color w:val="000000" w:themeColor="text1"/>
                <w:kern w:val="0"/>
                <w:sz w:val="20"/>
                <w14:textFill>
                  <w14:solidFill>
                    <w14:schemeClr w14:val="tx1"/>
                  </w14:solidFill>
                </w14:textFill>
              </w:rPr>
              <w:t>AO+化学除磷+消毒</w:t>
            </w:r>
          </w:p>
        </w:tc>
        <w:tc>
          <w:tcPr>
            <w:tcW w:w="3339" w:type="dxa"/>
            <w:gridSpan w:val="3"/>
            <w:shd w:val="clear" w:color="auto" w:fill="auto"/>
            <w:vAlign w:val="center"/>
          </w:tcPr>
          <w:p>
            <w:pPr>
              <w:pStyle w:val="58"/>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250m</w:t>
            </w:r>
            <w:r>
              <w:rPr>
                <w:color w:val="000000" w:themeColor="text1"/>
                <w:kern w:val="0"/>
                <w:sz w:val="20"/>
                <w:szCs w:val="21"/>
                <w:vertAlign w:val="superscript"/>
                <w14:textFill>
                  <w14:solidFill>
                    <w14:schemeClr w14:val="tx1"/>
                  </w14:solidFill>
                </w14:textFill>
              </w:rPr>
              <w:t>3</w:t>
            </w:r>
            <w:r>
              <w:rPr>
                <w:color w:val="000000" w:themeColor="text1"/>
                <w:kern w:val="0"/>
                <w:sz w:val="20"/>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污染物控制排放总量（t/a）</w:t>
            </w:r>
          </w:p>
        </w:tc>
        <w:tc>
          <w:tcPr>
            <w:tcW w:w="3828" w:type="dxa"/>
            <w:gridSpan w:val="4"/>
            <w:shd w:val="clear" w:color="auto" w:fill="auto"/>
            <w:vAlign w:val="center"/>
          </w:tcPr>
          <w:p>
            <w:pPr>
              <w:pStyle w:val="58"/>
              <w:rPr>
                <w:color w:val="000000" w:themeColor="text1"/>
                <w:kern w:val="0"/>
                <w:sz w:val="20"/>
                <w14:textFill>
                  <w14:solidFill>
                    <w14:schemeClr w14:val="tx1"/>
                  </w14:solidFill>
                </w14:textFill>
              </w:rPr>
            </w:pPr>
            <w:r>
              <w:rPr>
                <w:bCs/>
                <w:color w:val="000000" w:themeColor="text1"/>
                <w:kern w:val="0"/>
                <w:sz w:val="20"/>
                <w14:textFill>
                  <w14:solidFill>
                    <w14:schemeClr w14:val="tx1"/>
                  </w14:solidFill>
                </w14:textFill>
              </w:rPr>
              <w:t>COD</w:t>
            </w:r>
          </w:p>
        </w:tc>
        <w:tc>
          <w:tcPr>
            <w:tcW w:w="3339" w:type="dxa"/>
            <w:gridSpan w:val="3"/>
            <w:shd w:val="clear" w:color="auto" w:fill="auto"/>
            <w:vAlign w:val="center"/>
          </w:tcPr>
          <w:p>
            <w:pPr>
              <w:pStyle w:val="58"/>
              <w:rPr>
                <w:bCs/>
                <w:color w:val="000000" w:themeColor="text1"/>
                <w:kern w:val="0"/>
                <w:sz w:val="20"/>
                <w14:textFill>
                  <w14:solidFill>
                    <w14:schemeClr w14:val="tx1"/>
                  </w14:solidFill>
                </w14:textFill>
              </w:rPr>
            </w:pPr>
            <w:r>
              <w:rPr>
                <w:color w:val="000000" w:themeColor="text1"/>
                <w:kern w:val="0"/>
                <w:sz w:val="20"/>
                <w:szCs w:val="21"/>
                <w14:textFill>
                  <w14:solidFill>
                    <w14:schemeClr w14:val="tx1"/>
                  </w14:solidFill>
                </w14:textFill>
              </w:rPr>
              <w:t>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shd w:val="clear" w:color="auto" w:fill="auto"/>
            <w:vAlign w:val="center"/>
          </w:tcPr>
          <w:p>
            <w:pPr>
              <w:pStyle w:val="58"/>
              <w:rPr>
                <w:color w:val="000000" w:themeColor="text1"/>
                <w:spacing w:val="-2"/>
                <w:kern w:val="0"/>
                <w:sz w:val="20"/>
                <w14:textFill>
                  <w14:solidFill>
                    <w14:schemeClr w14:val="tx1"/>
                  </w14:solidFill>
                </w14:textFill>
              </w:rPr>
            </w:pPr>
          </w:p>
        </w:tc>
        <w:tc>
          <w:tcPr>
            <w:tcW w:w="3828" w:type="dxa"/>
            <w:gridSpan w:val="4"/>
            <w:shd w:val="clear" w:color="auto" w:fill="auto"/>
            <w:vAlign w:val="center"/>
          </w:tcPr>
          <w:p>
            <w:pPr>
              <w:pStyle w:val="58"/>
              <w:rPr>
                <w:color w:val="000000" w:themeColor="text1"/>
                <w:kern w:val="0"/>
                <w:sz w:val="20"/>
                <w14:textFill>
                  <w14:solidFill>
                    <w14:schemeClr w14:val="tx1"/>
                  </w14:solidFill>
                </w14:textFill>
              </w:rPr>
            </w:pPr>
            <w:r>
              <w:rPr>
                <w:bCs/>
                <w:color w:val="000000" w:themeColor="text1"/>
                <w:kern w:val="0"/>
                <w:sz w:val="20"/>
                <w14:textFill>
                  <w14:solidFill>
                    <w14:schemeClr w14:val="tx1"/>
                  </w14:solidFill>
                </w14:textFill>
              </w:rPr>
              <w:t>NH</w:t>
            </w:r>
            <w:r>
              <w:rPr>
                <w:bCs/>
                <w:color w:val="000000" w:themeColor="text1"/>
                <w:kern w:val="0"/>
                <w:sz w:val="20"/>
                <w:vertAlign w:val="subscript"/>
                <w14:textFill>
                  <w14:solidFill>
                    <w14:schemeClr w14:val="tx1"/>
                  </w14:solidFill>
                </w14:textFill>
              </w:rPr>
              <w:t>3</w:t>
            </w:r>
            <w:r>
              <w:rPr>
                <w:bCs/>
                <w:color w:val="000000" w:themeColor="text1"/>
                <w:kern w:val="0"/>
                <w:sz w:val="20"/>
                <w14:textFill>
                  <w14:solidFill>
                    <w14:schemeClr w14:val="tx1"/>
                  </w14:solidFill>
                </w14:textFill>
              </w:rPr>
              <w:t>-N</w:t>
            </w:r>
          </w:p>
        </w:tc>
        <w:tc>
          <w:tcPr>
            <w:tcW w:w="3339" w:type="dxa"/>
            <w:gridSpan w:val="3"/>
            <w:shd w:val="clear" w:color="auto" w:fill="auto"/>
            <w:vAlign w:val="center"/>
          </w:tcPr>
          <w:p>
            <w:pPr>
              <w:pStyle w:val="58"/>
              <w:rPr>
                <w:bCs/>
                <w:color w:val="000000" w:themeColor="text1"/>
                <w:kern w:val="0"/>
                <w:sz w:val="20"/>
                <w14:textFill>
                  <w14:solidFill>
                    <w14:schemeClr w14:val="tx1"/>
                  </w14:solidFill>
                </w14:textFill>
              </w:rPr>
            </w:pPr>
            <w:r>
              <w:rPr>
                <w:color w:val="000000" w:themeColor="text1"/>
                <w:kern w:val="0"/>
                <w:sz w:val="20"/>
                <w:szCs w:val="21"/>
                <w14:textFill>
                  <w14:solidFill>
                    <w14:schemeClr w14:val="tx1"/>
                  </w14:solidFill>
                </w14:textFill>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rFonts w:hint="eastAsia"/>
                <w:color w:val="000000" w:themeColor="text1"/>
                <w:spacing w:val="-2"/>
                <w:kern w:val="0"/>
                <w:sz w:val="20"/>
                <w14:textFill>
                  <w14:solidFill>
                    <w14:schemeClr w14:val="tx1"/>
                  </w14:solidFill>
                </w14:textFill>
              </w:rPr>
              <w:t>工艺流程图</w:t>
            </w:r>
          </w:p>
        </w:tc>
        <w:tc>
          <w:tcPr>
            <w:tcW w:w="7167" w:type="dxa"/>
            <w:gridSpan w:val="7"/>
            <w:shd w:val="clear" w:color="auto" w:fill="auto"/>
            <w:vAlign w:val="center"/>
          </w:tcPr>
          <w:p>
            <w:pPr>
              <w:pStyle w:val="58"/>
              <w:rPr>
                <w:snapToGrid w:val="0"/>
                <w:color w:val="000000" w:themeColor="text1"/>
                <w:kern w:val="0"/>
                <w:sz w:val="20"/>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4211955" cy="5609590"/>
                      <wp:effectExtent l="0" t="0" r="17145" b="10160"/>
                      <wp:docPr id="386" name="画布 386"/>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3" name="自选图形 1432"/>
                              <wps:cNvCnPr>
                                <a:cxnSpLocks noChangeShapeType="1"/>
                              </wps:cNvCnPr>
                              <wps:spPr bwMode="auto">
                                <a:xfrm>
                                  <a:off x="1899383" y="3915450"/>
                                  <a:ext cx="2156" cy="436582"/>
                                </a:xfrm>
                                <a:prstGeom prst="straightConnector1">
                                  <a:avLst/>
                                </a:prstGeom>
                                <a:noFill/>
                                <a:ln w="9525">
                                  <a:solidFill>
                                    <a:srgbClr val="000000"/>
                                  </a:solidFill>
                                  <a:round/>
                                  <a:tailEnd type="triangle" w="med" len="med"/>
                                </a:ln>
                                <a:effectLst/>
                              </wps:spPr>
                              <wps:bodyPr/>
                            </wps:wsp>
                            <wps:wsp>
                              <wps:cNvPr id="348" name="自选图形 1436"/>
                              <wps:cNvCnPr>
                                <a:cxnSpLocks noChangeShapeType="1"/>
                              </wps:cNvCnPr>
                              <wps:spPr bwMode="auto">
                                <a:xfrm>
                                  <a:off x="437028" y="3811964"/>
                                  <a:ext cx="875365" cy="539"/>
                                </a:xfrm>
                                <a:prstGeom prst="straightConnector1">
                                  <a:avLst/>
                                </a:prstGeom>
                                <a:noFill/>
                                <a:ln w="9525">
                                  <a:solidFill>
                                    <a:srgbClr val="000000"/>
                                  </a:solidFill>
                                  <a:round/>
                                  <a:tailEnd type="triangle" w="med" len="med"/>
                                </a:ln>
                                <a:effectLst/>
                              </wps:spPr>
                              <wps:bodyPr/>
                            </wps:wsp>
                            <wps:wsp>
                              <wps:cNvPr id="349" name="文本框 1422"/>
                              <wps:cNvSpPr txBox="1">
                                <a:spLocks noChangeArrowheads="1"/>
                              </wps:cNvSpPr>
                              <wps:spPr bwMode="auto">
                                <a:xfrm>
                                  <a:off x="1012110" y="651059"/>
                                  <a:ext cx="1778759" cy="343087"/>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格栅池</w:t>
                                    </w:r>
                                  </w:p>
                                </w:txbxContent>
                              </wps:txbx>
                              <wps:bodyPr rot="0" vert="horz" wrap="square" lIns="0" tIns="38851" rIns="0" bIns="38851" anchor="t" anchorCtr="0" upright="1">
                                <a:noAutofit/>
                              </wps:bodyPr>
                            </wps:wsp>
                            <wps:wsp>
                              <wps:cNvPr id="350" name="自选图形 1423"/>
                              <wps:cNvCnPr>
                                <a:cxnSpLocks noChangeShapeType="1"/>
                              </wps:cNvCnPr>
                              <wps:spPr bwMode="auto">
                                <a:xfrm>
                                  <a:off x="1901539" y="235769"/>
                                  <a:ext cx="1078" cy="347109"/>
                                </a:xfrm>
                                <a:prstGeom prst="straightConnector1">
                                  <a:avLst/>
                                </a:prstGeom>
                                <a:noFill/>
                                <a:ln w="9525">
                                  <a:solidFill>
                                    <a:srgbClr val="000000"/>
                                  </a:solidFill>
                                  <a:round/>
                                  <a:tailEnd type="triangle" w="med" len="med"/>
                                </a:ln>
                                <a:effectLst/>
                              </wps:spPr>
                              <wps:bodyPr/>
                            </wps:wsp>
                            <wps:wsp>
                              <wps:cNvPr id="351" name="文本框 1424"/>
                              <wps:cNvSpPr txBox="1">
                                <a:spLocks noChangeArrowheads="1"/>
                              </wps:cNvSpPr>
                              <wps:spPr bwMode="auto">
                                <a:xfrm>
                                  <a:off x="1059587" y="0"/>
                                  <a:ext cx="1521000" cy="263347"/>
                                </a:xfrm>
                                <a:prstGeom prst="rect">
                                  <a:avLst/>
                                </a:prstGeom>
                                <a:solidFill>
                                  <a:srgbClr val="FFFFFF"/>
                                </a:solidFill>
                                <a:ln w="9525" cap="rnd">
                                  <a:solidFill>
                                    <a:srgbClr val="000000"/>
                                  </a:solidFill>
                                  <a:prstDash val="sysDot"/>
                                  <a:miter lim="800000"/>
                                </a:ln>
                                <a:effectLst/>
                              </wps:spPr>
                              <wps:txbx>
                                <w:txbxContent>
                                  <w:p>
                                    <w:pPr>
                                      <w:spacing w:line="240" w:lineRule="auto"/>
                                      <w:ind w:firstLine="0" w:firstLineChars="0"/>
                                      <w:jc w:val="center"/>
                                      <w:rPr>
                                        <w:szCs w:val="28"/>
                                      </w:rPr>
                                    </w:pPr>
                                    <w:r>
                                      <w:rPr>
                                        <w:rFonts w:hint="eastAsia"/>
                                        <w:szCs w:val="28"/>
                                      </w:rPr>
                                      <w:t>市政管网来生活污水</w:t>
                                    </w:r>
                                  </w:p>
                                </w:txbxContent>
                              </wps:txbx>
                              <wps:bodyPr rot="0" vert="horz" wrap="square" lIns="0" tIns="38851" rIns="0" bIns="38851" anchor="t" anchorCtr="0" upright="1">
                                <a:noAutofit/>
                              </wps:bodyPr>
                            </wps:wsp>
                            <wps:wsp>
                              <wps:cNvPr id="352" name="文本框 1425"/>
                              <wps:cNvSpPr txBox="1">
                                <a:spLocks noChangeArrowheads="1"/>
                              </wps:cNvSpPr>
                              <wps:spPr bwMode="auto">
                                <a:xfrm>
                                  <a:off x="1311315" y="1416156"/>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调节池</w:t>
                                    </w:r>
                                  </w:p>
                                </w:txbxContent>
                              </wps:txbx>
                              <wps:bodyPr rot="0" vert="horz" wrap="square" lIns="0" tIns="38851" rIns="0" bIns="38851" anchor="t" anchorCtr="0" upright="1">
                                <a:noAutofit/>
                              </wps:bodyPr>
                            </wps:wsp>
                            <wps:wsp>
                              <wps:cNvPr id="353" name="文本框 1429"/>
                              <wps:cNvSpPr txBox="1">
                                <a:spLocks noChangeArrowheads="1"/>
                              </wps:cNvSpPr>
                              <wps:spPr bwMode="auto">
                                <a:xfrm>
                                  <a:off x="945861" y="5131565"/>
                                  <a:ext cx="1845058" cy="442624"/>
                                </a:xfrm>
                                <a:prstGeom prst="rect">
                                  <a:avLst/>
                                </a:prstGeom>
                                <a:solidFill>
                                  <a:srgbClr val="FFFFFF"/>
                                </a:solidFill>
                                <a:ln w="9525" cap="rnd">
                                  <a:solidFill>
                                    <a:srgbClr val="000000"/>
                                  </a:solidFill>
                                  <a:prstDash val="sysDot"/>
                                  <a:miter lim="800000"/>
                                </a:ln>
                                <a:effectLst/>
                              </wps:spPr>
                              <wps:txbx>
                                <w:txbxContent>
                                  <w:p>
                                    <w:pPr>
                                      <w:spacing w:line="240" w:lineRule="auto"/>
                                      <w:ind w:firstLine="0" w:firstLineChars="0"/>
                                      <w:jc w:val="center"/>
                                      <w:rPr>
                                        <w:szCs w:val="28"/>
                                      </w:rPr>
                                    </w:pPr>
                                    <w:r>
                                      <w:rPr>
                                        <w:rFonts w:hint="eastAsia"/>
                                        <w:szCs w:val="28"/>
                                      </w:rPr>
                                      <w:t>处理排水至小溪沟，最后汇入诸佛江</w:t>
                                    </w:r>
                                  </w:p>
                                </w:txbxContent>
                              </wps:txbx>
                              <wps:bodyPr rot="0" vert="horz" wrap="square" lIns="0" tIns="38851" rIns="0" bIns="38851" anchor="t" anchorCtr="0" upright="1">
                                <a:noAutofit/>
                              </wps:bodyPr>
                            </wps:wsp>
                            <wps:wsp>
                              <wps:cNvPr id="354" name="自选图形 1430"/>
                              <wps:cNvCnPr>
                                <a:cxnSpLocks noChangeShapeType="1"/>
                              </wps:cNvCnPr>
                              <wps:spPr bwMode="auto">
                                <a:xfrm flipH="1">
                                  <a:off x="1893993" y="979574"/>
                                  <a:ext cx="6468" cy="436582"/>
                                </a:xfrm>
                                <a:prstGeom prst="straightConnector1">
                                  <a:avLst/>
                                </a:prstGeom>
                                <a:noFill/>
                                <a:ln w="9525">
                                  <a:solidFill>
                                    <a:srgbClr val="000000"/>
                                  </a:solidFill>
                                  <a:round/>
                                  <a:tailEnd type="triangle" w="med" len="med"/>
                                </a:ln>
                                <a:effectLst/>
                              </wps:spPr>
                              <wps:bodyPr/>
                            </wps:wsp>
                            <wps:wsp>
                              <wps:cNvPr id="355" name="文本框 1435"/>
                              <wps:cNvSpPr txBox="1">
                                <a:spLocks noChangeArrowheads="1"/>
                              </wps:cNvSpPr>
                              <wps:spPr bwMode="auto">
                                <a:xfrm>
                                  <a:off x="35999" y="3604720"/>
                                  <a:ext cx="975083" cy="301603"/>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除磷剂</w:t>
                                    </w:r>
                                  </w:p>
                                </w:txbxContent>
                              </wps:txbx>
                              <wps:bodyPr rot="0" vert="horz" wrap="square" lIns="0" tIns="38851" rIns="0" bIns="38851" anchor="t" anchorCtr="0" upright="1">
                                <a:noAutofit/>
                              </wps:bodyPr>
                            </wps:wsp>
                            <wps:wsp>
                              <wps:cNvPr id="356" name="自选图形 1437"/>
                              <wps:cNvCnPr>
                                <a:cxnSpLocks noChangeShapeType="1"/>
                              </wps:cNvCnPr>
                              <wps:spPr bwMode="auto">
                                <a:xfrm flipH="1">
                                  <a:off x="3477088" y="3914911"/>
                                  <a:ext cx="18866" cy="1269320"/>
                                </a:xfrm>
                                <a:prstGeom prst="straightConnector1">
                                  <a:avLst/>
                                </a:prstGeom>
                                <a:noFill/>
                                <a:ln w="9525">
                                  <a:solidFill>
                                    <a:srgbClr val="000000"/>
                                  </a:solidFill>
                                  <a:prstDash val="dash"/>
                                  <a:round/>
                                  <a:tailEnd type="triangle" w="med" len="med"/>
                                </a:ln>
                                <a:effectLst/>
                              </wps:spPr>
                              <wps:bodyPr/>
                            </wps:wsp>
                            <wps:wsp>
                              <wps:cNvPr id="357" name="文本框 1443"/>
                              <wps:cNvSpPr txBox="1">
                                <a:spLocks noChangeArrowheads="1"/>
                              </wps:cNvSpPr>
                              <wps:spPr bwMode="auto">
                                <a:xfrm>
                                  <a:off x="2857218" y="5184658"/>
                                  <a:ext cx="1163200" cy="279802"/>
                                </a:xfrm>
                                <a:prstGeom prst="rect">
                                  <a:avLst/>
                                </a:prstGeom>
                                <a:solidFill>
                                  <a:srgbClr val="FFFFFF"/>
                                </a:solidFill>
                                <a:ln w="9525" cap="rnd">
                                  <a:solidFill>
                                    <a:srgbClr val="000000"/>
                                  </a:solidFill>
                                  <a:prstDash val="sysDot"/>
                                  <a:miter lim="800000"/>
                                </a:ln>
                                <a:effectLst/>
                              </wps:spPr>
                              <wps:txbx>
                                <w:txbxContent>
                                  <w:p>
                                    <w:pPr>
                                      <w:spacing w:line="240" w:lineRule="auto"/>
                                      <w:ind w:firstLine="0" w:firstLineChars="0"/>
                                      <w:jc w:val="center"/>
                                      <w:rPr>
                                        <w:szCs w:val="28"/>
                                      </w:rPr>
                                    </w:pPr>
                                    <w:r>
                                      <w:rPr>
                                        <w:rFonts w:hint="eastAsia"/>
                                        <w:szCs w:val="28"/>
                                      </w:rPr>
                                      <w:t>干泥外运处置</w:t>
                                    </w:r>
                                  </w:p>
                                </w:txbxContent>
                              </wps:txbx>
                              <wps:bodyPr rot="0" vert="horz" wrap="square" lIns="0" tIns="38851" rIns="0" bIns="38851" anchor="t" anchorCtr="0" upright="1">
                                <a:noAutofit/>
                              </wps:bodyPr>
                            </wps:wsp>
                            <wps:wsp>
                              <wps:cNvPr id="358" name="自选图形 1444"/>
                              <wps:cNvCnPr>
                                <a:cxnSpLocks noChangeShapeType="1"/>
                              </wps:cNvCnPr>
                              <wps:spPr bwMode="auto">
                                <a:xfrm>
                                  <a:off x="2790918" y="781226"/>
                                  <a:ext cx="360603" cy="539"/>
                                </a:xfrm>
                                <a:prstGeom prst="straightConnector1">
                                  <a:avLst/>
                                </a:prstGeom>
                                <a:noFill/>
                                <a:ln w="9525">
                                  <a:solidFill>
                                    <a:srgbClr val="000000"/>
                                  </a:solidFill>
                                  <a:prstDash val="dash"/>
                                  <a:round/>
                                  <a:tailEnd type="triangle" w="med" len="med"/>
                                </a:ln>
                                <a:effectLst/>
                              </wps:spPr>
                              <wps:bodyPr/>
                            </wps:wsp>
                            <wps:wsp>
                              <wps:cNvPr id="359" name="文本框 1445"/>
                              <wps:cNvSpPr txBox="1">
                                <a:spLocks noChangeArrowheads="1"/>
                              </wps:cNvSpPr>
                              <wps:spPr bwMode="auto">
                                <a:xfrm>
                                  <a:off x="3151521" y="687634"/>
                                  <a:ext cx="1060787" cy="292401"/>
                                </a:xfrm>
                                <a:prstGeom prst="rect">
                                  <a:avLst/>
                                </a:prstGeom>
                                <a:solidFill>
                                  <a:srgbClr val="FFFFFF"/>
                                </a:solidFill>
                                <a:ln w="9525" cap="rnd">
                                  <a:solidFill>
                                    <a:srgbClr val="000000"/>
                                  </a:solidFill>
                                  <a:prstDash val="sysDot"/>
                                  <a:miter lim="800000"/>
                                </a:ln>
                                <a:effectLst/>
                              </wps:spPr>
                              <wps:txbx>
                                <w:txbxContent>
                                  <w:p>
                                    <w:pPr>
                                      <w:spacing w:line="240" w:lineRule="auto"/>
                                      <w:ind w:firstLine="0" w:firstLineChars="0"/>
                                      <w:jc w:val="center"/>
                                      <w:rPr>
                                        <w:szCs w:val="28"/>
                                      </w:rPr>
                                    </w:pPr>
                                    <w:r>
                                      <w:rPr>
                                        <w:rFonts w:hint="eastAsia"/>
                                        <w:szCs w:val="28"/>
                                      </w:rPr>
                                      <w:t>栅渣外运处置</w:t>
                                    </w:r>
                                  </w:p>
                                </w:txbxContent>
                              </wps:txbx>
                              <wps:bodyPr rot="0" vert="horz" wrap="square" lIns="0" tIns="38851" rIns="0" bIns="38851" anchor="t" anchorCtr="0" upright="1">
                                <a:noAutofit/>
                              </wps:bodyPr>
                            </wps:wsp>
                            <wps:wsp>
                              <wps:cNvPr id="360" name="文本框 1446"/>
                              <wps:cNvSpPr txBox="1">
                                <a:spLocks noChangeArrowheads="1"/>
                              </wps:cNvSpPr>
                              <wps:spPr bwMode="auto">
                                <a:xfrm>
                                  <a:off x="1303229" y="4351704"/>
                                  <a:ext cx="1163200" cy="293454"/>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消毒计量排放渠</w:t>
                                    </w:r>
                                  </w:p>
                                </w:txbxContent>
                              </wps:txbx>
                              <wps:bodyPr rot="0" vert="horz" wrap="square" lIns="0" tIns="38851" rIns="0" bIns="38851" anchor="t" anchorCtr="0" upright="1">
                                <a:noAutofit/>
                              </wps:bodyPr>
                            </wps:wsp>
                            <wps:wsp>
                              <wps:cNvPr id="361" name="自选图形 1447"/>
                              <wps:cNvCnPr>
                                <a:cxnSpLocks noChangeShapeType="1"/>
                              </wps:cNvCnPr>
                              <wps:spPr bwMode="auto">
                                <a:xfrm>
                                  <a:off x="1904773" y="4675578"/>
                                  <a:ext cx="2156" cy="436582"/>
                                </a:xfrm>
                                <a:prstGeom prst="straightConnector1">
                                  <a:avLst/>
                                </a:prstGeom>
                                <a:noFill/>
                                <a:ln w="9525">
                                  <a:solidFill>
                                    <a:srgbClr val="000000"/>
                                  </a:solidFill>
                                  <a:round/>
                                  <a:tailEnd type="triangle" w="med" len="med"/>
                                </a:ln>
                                <a:effectLst/>
                              </wps:spPr>
                              <wps:bodyPr/>
                            </wps:wsp>
                            <wps:wsp>
                              <wps:cNvPr id="362" name="自选图形 1448"/>
                              <wps:cNvCnPr>
                                <a:cxnSpLocks noChangeShapeType="1"/>
                              </wps:cNvCnPr>
                              <wps:spPr bwMode="auto">
                                <a:xfrm>
                                  <a:off x="3693234" y="1306202"/>
                                  <a:ext cx="0" cy="2158114"/>
                                </a:xfrm>
                                <a:prstGeom prst="straightConnector1">
                                  <a:avLst/>
                                </a:prstGeom>
                                <a:noFill/>
                                <a:ln w="9525">
                                  <a:solidFill>
                                    <a:srgbClr val="000000"/>
                                  </a:solidFill>
                                  <a:prstDash val="dash"/>
                                  <a:round/>
                                  <a:tailEnd type="triangle" w="med" len="med"/>
                                </a:ln>
                                <a:effectLst/>
                              </wps:spPr>
                              <wps:bodyPr/>
                            </wps:wsp>
                            <wps:wsp>
                              <wps:cNvPr id="363" name="自选图形 1449"/>
                              <wps:cNvCnPr>
                                <a:cxnSpLocks noChangeShapeType="1"/>
                              </wps:cNvCnPr>
                              <wps:spPr bwMode="auto">
                                <a:xfrm>
                                  <a:off x="2581241" y="1284643"/>
                                  <a:ext cx="1140023" cy="539"/>
                                </a:xfrm>
                                <a:prstGeom prst="straightConnector1">
                                  <a:avLst/>
                                </a:prstGeom>
                                <a:noFill/>
                                <a:ln w="9525">
                                  <a:solidFill>
                                    <a:srgbClr val="000000"/>
                                  </a:solidFill>
                                  <a:prstDash val="dash"/>
                                  <a:round/>
                                </a:ln>
                                <a:effectLst/>
                              </wps:spPr>
                              <wps:bodyPr/>
                            </wps:wsp>
                            <wps:wsp>
                              <wps:cNvPr id="364" name="自选图形 1450"/>
                              <wps:cNvCnPr>
                                <a:cxnSpLocks noChangeShapeType="1"/>
                              </wps:cNvCnPr>
                              <wps:spPr bwMode="auto">
                                <a:xfrm>
                                  <a:off x="2580702" y="990893"/>
                                  <a:ext cx="539" cy="294288"/>
                                </a:xfrm>
                                <a:prstGeom prst="straightConnector1">
                                  <a:avLst/>
                                </a:prstGeom>
                                <a:noFill/>
                                <a:ln w="9525">
                                  <a:solidFill>
                                    <a:srgbClr val="000000"/>
                                  </a:solidFill>
                                  <a:prstDash val="dash"/>
                                  <a:round/>
                                </a:ln>
                                <a:effectLst/>
                              </wps:spPr>
                              <wps:bodyPr/>
                            </wps:wsp>
                            <wps:wsp>
                              <wps:cNvPr id="365" name="文本框 1441"/>
                              <wps:cNvSpPr txBox="1">
                                <a:spLocks noChangeArrowheads="1"/>
                              </wps:cNvSpPr>
                              <wps:spPr bwMode="auto">
                                <a:xfrm>
                                  <a:off x="2790918" y="3576868"/>
                                  <a:ext cx="1163200" cy="314824"/>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污泥干化池</w:t>
                                    </w:r>
                                  </w:p>
                                </w:txbxContent>
                              </wps:txbx>
                              <wps:bodyPr rot="0" vert="horz" wrap="square" lIns="0" tIns="38851" rIns="0" bIns="38851" anchor="t" anchorCtr="0" upright="1">
                                <a:noAutofit/>
                              </wps:bodyPr>
                            </wps:wsp>
                            <wps:wsp>
                              <wps:cNvPr id="366" name="自选图形 1436"/>
                              <wps:cNvCnPr>
                                <a:cxnSpLocks noChangeShapeType="1"/>
                              </wps:cNvCnPr>
                              <wps:spPr bwMode="auto">
                                <a:xfrm>
                                  <a:off x="437028" y="4534210"/>
                                  <a:ext cx="875365" cy="539"/>
                                </a:xfrm>
                                <a:prstGeom prst="straightConnector1">
                                  <a:avLst/>
                                </a:prstGeom>
                                <a:noFill/>
                                <a:ln w="9525">
                                  <a:solidFill>
                                    <a:srgbClr val="000000"/>
                                  </a:solidFill>
                                  <a:round/>
                                  <a:tailEnd type="triangle" w="med" len="med"/>
                                </a:ln>
                                <a:effectLst/>
                              </wps:spPr>
                              <wps:bodyPr/>
                            </wps:wsp>
                            <wps:wsp>
                              <wps:cNvPr id="367" name="文本框 1435"/>
                              <wps:cNvSpPr txBox="1">
                                <a:spLocks noChangeArrowheads="1"/>
                              </wps:cNvSpPr>
                              <wps:spPr bwMode="auto">
                                <a:xfrm>
                                  <a:off x="35999" y="4326912"/>
                                  <a:ext cx="975083" cy="274355"/>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消毒剂</w:t>
                                    </w:r>
                                  </w:p>
                                </w:txbxContent>
                              </wps:txbx>
                              <wps:bodyPr rot="0" vert="horz" wrap="square" lIns="0" tIns="38851" rIns="0" bIns="38851" anchor="t" anchorCtr="0" upright="1">
                                <a:noAutofit/>
                              </wps:bodyPr>
                            </wps:wsp>
                            <wps:wsp>
                              <wps:cNvPr id="368" name="文本框 1425"/>
                              <wps:cNvSpPr txBox="1">
                                <a:spLocks noChangeArrowheads="1"/>
                              </wps:cNvSpPr>
                              <wps:spPr bwMode="auto">
                                <a:xfrm>
                                  <a:off x="1303229" y="1949756"/>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缺氧池</w:t>
                                    </w:r>
                                  </w:p>
                                  <w:p>
                                    <w:pPr>
                                      <w:spacing w:line="240" w:lineRule="auto"/>
                                      <w:ind w:firstLine="0" w:firstLineChars="0"/>
                                      <w:jc w:val="center"/>
                                      <w:rPr>
                                        <w:szCs w:val="28"/>
                                      </w:rPr>
                                    </w:pPr>
                                  </w:p>
                                </w:txbxContent>
                              </wps:txbx>
                              <wps:bodyPr rot="0" vert="horz" wrap="square" lIns="0" tIns="38851" rIns="0" bIns="38851" anchor="t" anchorCtr="0" upright="1">
                                <a:noAutofit/>
                              </wps:bodyPr>
                            </wps:wsp>
                            <wps:wsp>
                              <wps:cNvPr id="369" name="文本框 1425"/>
                              <wps:cNvSpPr txBox="1">
                                <a:spLocks noChangeArrowheads="1"/>
                              </wps:cNvSpPr>
                              <wps:spPr bwMode="auto">
                                <a:xfrm>
                                  <a:off x="1312393" y="2496830"/>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好氧池</w:t>
                                    </w:r>
                                  </w:p>
                                  <w:p>
                                    <w:pPr>
                                      <w:spacing w:line="240" w:lineRule="auto"/>
                                      <w:ind w:firstLine="0" w:firstLineChars="0"/>
                                      <w:rPr>
                                        <w:szCs w:val="28"/>
                                      </w:rPr>
                                    </w:pPr>
                                  </w:p>
                                </w:txbxContent>
                              </wps:txbx>
                              <wps:bodyPr rot="0" vert="horz" wrap="square" lIns="0" tIns="38851" rIns="0" bIns="38851" anchor="t" anchorCtr="0" upright="1">
                                <a:noAutofit/>
                              </wps:bodyPr>
                            </wps:wsp>
                            <wps:wsp>
                              <wps:cNvPr id="370" name="文本框 1425"/>
                              <wps:cNvSpPr txBox="1">
                                <a:spLocks noChangeArrowheads="1"/>
                              </wps:cNvSpPr>
                              <wps:spPr bwMode="auto">
                                <a:xfrm>
                                  <a:off x="1303229" y="3078939"/>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静沉区</w:t>
                                    </w:r>
                                  </w:p>
                                </w:txbxContent>
                              </wps:txbx>
                              <wps:bodyPr rot="0" vert="horz" wrap="square" lIns="0" tIns="38851" rIns="0" bIns="38851" anchor="t" anchorCtr="0" upright="1">
                                <a:noAutofit/>
                              </wps:bodyPr>
                            </wps:wsp>
                            <wps:wsp>
                              <wps:cNvPr id="371" name="自选图形 28"/>
                              <wps:cNvCnPr>
                                <a:cxnSpLocks noChangeShapeType="1"/>
                              </wps:cNvCnPr>
                              <wps:spPr bwMode="auto">
                                <a:xfrm flipH="1">
                                  <a:off x="1938192" y="1689424"/>
                                  <a:ext cx="8085" cy="260332"/>
                                </a:xfrm>
                                <a:prstGeom prst="straightConnector1">
                                  <a:avLst/>
                                </a:prstGeom>
                                <a:noFill/>
                                <a:ln w="9525">
                                  <a:solidFill>
                                    <a:srgbClr val="000000"/>
                                  </a:solidFill>
                                  <a:round/>
                                  <a:tailEnd type="triangle" w="med" len="med"/>
                                </a:ln>
                                <a:effectLst/>
                              </wps:spPr>
                              <wps:bodyPr/>
                            </wps:wsp>
                            <wps:wsp>
                              <wps:cNvPr id="372" name="自选图形 29"/>
                              <wps:cNvCnPr>
                                <a:cxnSpLocks noChangeShapeType="1"/>
                              </wps:cNvCnPr>
                              <wps:spPr bwMode="auto">
                                <a:xfrm flipH="1">
                                  <a:off x="1946278" y="2223023"/>
                                  <a:ext cx="8085" cy="260332"/>
                                </a:xfrm>
                                <a:prstGeom prst="straightConnector1">
                                  <a:avLst/>
                                </a:prstGeom>
                                <a:noFill/>
                                <a:ln w="9525">
                                  <a:solidFill>
                                    <a:srgbClr val="000000"/>
                                  </a:solidFill>
                                  <a:round/>
                                  <a:tailEnd type="triangle" w="med" len="med"/>
                                </a:ln>
                                <a:effectLst/>
                              </wps:spPr>
                              <wps:bodyPr/>
                            </wps:wsp>
                            <wps:wsp>
                              <wps:cNvPr id="373" name="自选图形 30"/>
                              <wps:cNvCnPr>
                                <a:cxnSpLocks noChangeShapeType="1"/>
                              </wps:cNvCnPr>
                              <wps:spPr bwMode="auto">
                                <a:xfrm flipH="1">
                                  <a:off x="1954363" y="2770098"/>
                                  <a:ext cx="8085" cy="260332"/>
                                </a:xfrm>
                                <a:prstGeom prst="straightConnector1">
                                  <a:avLst/>
                                </a:prstGeom>
                                <a:noFill/>
                                <a:ln w="9525">
                                  <a:solidFill>
                                    <a:srgbClr val="000000"/>
                                  </a:solidFill>
                                  <a:round/>
                                  <a:tailEnd type="triangle" w="med" len="med"/>
                                </a:ln>
                                <a:effectLst/>
                              </wps:spPr>
                              <wps:bodyPr/>
                            </wps:wsp>
                            <wps:wsp>
                              <wps:cNvPr id="374" name="自选图形 31"/>
                              <wps:cNvCnPr>
                                <a:cxnSpLocks noChangeShapeType="1"/>
                              </wps:cNvCnPr>
                              <wps:spPr bwMode="auto">
                                <a:xfrm flipH="1">
                                  <a:off x="1954363" y="3352206"/>
                                  <a:ext cx="8085" cy="260332"/>
                                </a:xfrm>
                                <a:prstGeom prst="straightConnector1">
                                  <a:avLst/>
                                </a:prstGeom>
                                <a:noFill/>
                                <a:ln w="9525">
                                  <a:solidFill>
                                    <a:srgbClr val="000000"/>
                                  </a:solidFill>
                                  <a:round/>
                                  <a:tailEnd type="triangle" w="med" len="med"/>
                                </a:ln>
                                <a:effectLst/>
                              </wps:spPr>
                              <wps:bodyPr/>
                            </wps:wsp>
                            <wps:wsp>
                              <wps:cNvPr id="375" name="自选图形 1436"/>
                              <wps:cNvCnPr>
                                <a:cxnSpLocks noChangeShapeType="1"/>
                              </wps:cNvCnPr>
                              <wps:spPr bwMode="auto">
                                <a:xfrm>
                                  <a:off x="1906929" y="3811425"/>
                                  <a:ext cx="875365" cy="539"/>
                                </a:xfrm>
                                <a:prstGeom prst="straightConnector1">
                                  <a:avLst/>
                                </a:prstGeom>
                                <a:noFill/>
                                <a:ln w="9525">
                                  <a:solidFill>
                                    <a:srgbClr val="000000"/>
                                  </a:solidFill>
                                  <a:round/>
                                  <a:tailEnd type="triangle" w="med" len="med"/>
                                </a:ln>
                                <a:effectLst/>
                              </wps:spPr>
                              <wps:bodyPr/>
                            </wps:wsp>
                            <wps:wsp>
                              <wps:cNvPr id="376" name="文本框 1425"/>
                              <wps:cNvSpPr txBox="1">
                                <a:spLocks noChangeArrowheads="1"/>
                              </wps:cNvSpPr>
                              <wps:spPr bwMode="auto">
                                <a:xfrm>
                                  <a:off x="1303229" y="3642183"/>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混凝沉淀池</w:t>
                                    </w:r>
                                  </w:p>
                                </w:txbxContent>
                              </wps:txbx>
                              <wps:bodyPr rot="0" vert="horz" wrap="square" lIns="0" tIns="38851" rIns="0" bIns="38851" anchor="t" anchorCtr="0" upright="1">
                                <a:noAutofit/>
                              </wps:bodyPr>
                            </wps:wsp>
                            <wps:wsp>
                              <wps:cNvPr id="377" name="自选图形 1449"/>
                              <wps:cNvCnPr>
                                <a:cxnSpLocks noChangeShapeType="1"/>
                              </wps:cNvCnPr>
                              <wps:spPr bwMode="auto">
                                <a:xfrm flipV="1">
                                  <a:off x="2604418" y="1519103"/>
                                  <a:ext cx="832782" cy="3234"/>
                                </a:xfrm>
                                <a:prstGeom prst="straightConnector1">
                                  <a:avLst/>
                                </a:prstGeom>
                                <a:noFill/>
                                <a:ln w="9525">
                                  <a:solidFill>
                                    <a:srgbClr val="000000"/>
                                  </a:solidFill>
                                  <a:prstDash val="dash"/>
                                  <a:round/>
                                </a:ln>
                                <a:effectLst/>
                              </wps:spPr>
                              <wps:bodyPr/>
                            </wps:wsp>
                            <wps:wsp>
                              <wps:cNvPr id="378" name="自选图形 1449"/>
                              <wps:cNvCnPr>
                                <a:cxnSpLocks noChangeShapeType="1"/>
                              </wps:cNvCnPr>
                              <wps:spPr bwMode="auto">
                                <a:xfrm flipV="1">
                                  <a:off x="2589865" y="2079113"/>
                                  <a:ext cx="825775" cy="0"/>
                                </a:xfrm>
                                <a:prstGeom prst="straightConnector1">
                                  <a:avLst/>
                                </a:prstGeom>
                                <a:noFill/>
                                <a:ln w="9525">
                                  <a:solidFill>
                                    <a:srgbClr val="000000"/>
                                  </a:solidFill>
                                  <a:prstDash val="dash"/>
                                  <a:round/>
                                </a:ln>
                                <a:effectLst/>
                              </wps:spPr>
                              <wps:bodyPr/>
                            </wps:wsp>
                            <wps:wsp>
                              <wps:cNvPr id="379" name="自选图形 1449"/>
                              <wps:cNvCnPr>
                                <a:cxnSpLocks noChangeShapeType="1"/>
                              </wps:cNvCnPr>
                              <wps:spPr bwMode="auto">
                                <a:xfrm flipV="1">
                                  <a:off x="2582319" y="2657988"/>
                                  <a:ext cx="825775" cy="0"/>
                                </a:xfrm>
                                <a:prstGeom prst="straightConnector1">
                                  <a:avLst/>
                                </a:prstGeom>
                                <a:noFill/>
                                <a:ln w="9525">
                                  <a:solidFill>
                                    <a:srgbClr val="000000"/>
                                  </a:solidFill>
                                  <a:prstDash val="dash"/>
                                  <a:round/>
                                </a:ln>
                                <a:effectLst/>
                              </wps:spPr>
                              <wps:bodyPr/>
                            </wps:wsp>
                            <wps:wsp>
                              <wps:cNvPr id="380" name="自选图形 1449"/>
                              <wps:cNvCnPr>
                                <a:cxnSpLocks noChangeShapeType="1"/>
                              </wps:cNvCnPr>
                              <wps:spPr bwMode="auto">
                                <a:xfrm flipV="1">
                                  <a:off x="2589865" y="3142000"/>
                                  <a:ext cx="825775" cy="0"/>
                                </a:xfrm>
                                <a:prstGeom prst="straightConnector1">
                                  <a:avLst/>
                                </a:prstGeom>
                                <a:noFill/>
                                <a:ln w="9525">
                                  <a:solidFill>
                                    <a:srgbClr val="000000"/>
                                  </a:solidFill>
                                  <a:prstDash val="dash"/>
                                  <a:round/>
                                </a:ln>
                                <a:effectLst/>
                              </wps:spPr>
                              <wps:bodyPr/>
                            </wps:wsp>
                            <wps:wsp>
                              <wps:cNvPr id="381" name="自选图形 1448"/>
                              <wps:cNvCnPr>
                                <a:cxnSpLocks noChangeShapeType="1"/>
                              </wps:cNvCnPr>
                              <wps:spPr bwMode="auto">
                                <a:xfrm>
                                  <a:off x="3439896" y="1507784"/>
                                  <a:ext cx="11319" cy="1957071"/>
                                </a:xfrm>
                                <a:prstGeom prst="straightConnector1">
                                  <a:avLst/>
                                </a:prstGeom>
                                <a:noFill/>
                                <a:ln w="9525">
                                  <a:solidFill>
                                    <a:srgbClr val="000000"/>
                                  </a:solidFill>
                                  <a:prstDash val="dash"/>
                                  <a:round/>
                                  <a:tailEnd type="triangle" w="med" len="med"/>
                                </a:ln>
                                <a:effectLst/>
                              </wps:spPr>
                              <wps:bodyPr/>
                            </wps:wsp>
                            <wps:wsp>
                              <wps:cNvPr id="382" name="文本框 54"/>
                              <wps:cNvSpPr txBox="1">
                                <a:spLocks noChangeArrowheads="1"/>
                              </wps:cNvSpPr>
                              <wps:spPr bwMode="auto">
                                <a:xfrm>
                                  <a:off x="2464813" y="1822862"/>
                                  <a:ext cx="1083805" cy="289742"/>
                                </a:xfrm>
                                <a:prstGeom prst="rect">
                                  <a:avLst/>
                                </a:prstGeom>
                                <a:solidFill>
                                  <a:srgbClr val="FFFFFF">
                                    <a:alpha val="0"/>
                                  </a:srgbClr>
                                </a:solidFill>
                                <a:ln>
                                  <a:noFill/>
                                </a:ln>
                                <a:effectLst/>
                              </wps:spPr>
                              <wps:txbx>
                                <w:txbxContent>
                                  <w:p>
                                    <w:pPr>
                                      <w:pStyle w:val="26"/>
                                      <w:adjustRightInd w:val="0"/>
                                      <w:snapToGrid w:val="0"/>
                                      <w:spacing w:before="0" w:beforeAutospacing="0" w:after="0" w:afterAutospacing="0"/>
                                      <w:ind w:left="420" w:hanging="420"/>
                                      <w:jc w:val="center"/>
                                      <w:rPr>
                                        <w:rFonts w:hint="default"/>
                                        <w:sz w:val="21"/>
                                        <w:szCs w:val="21"/>
                                      </w:rPr>
                                    </w:pPr>
                                    <w:r>
                                      <w:rPr>
                                        <w:sz w:val="21"/>
                                        <w:szCs w:val="21"/>
                                      </w:rPr>
                                      <w:t>剩余污泥</w:t>
                                    </w:r>
                                  </w:p>
                                </w:txbxContent>
                              </wps:txbx>
                              <wps:bodyPr rot="0" vert="horz" wrap="square" lIns="91440" tIns="45720" rIns="91440" bIns="45720" anchor="t" anchorCtr="0" upright="1">
                                <a:noAutofit/>
                              </wps:bodyPr>
                            </wps:wsp>
                            <wps:wsp>
                              <wps:cNvPr id="383" name="文本框 55"/>
                              <wps:cNvSpPr txBox="1">
                                <a:spLocks noChangeArrowheads="1"/>
                              </wps:cNvSpPr>
                              <wps:spPr bwMode="auto">
                                <a:xfrm>
                                  <a:off x="2471281" y="1330286"/>
                                  <a:ext cx="1085963" cy="256136"/>
                                </a:xfrm>
                                <a:prstGeom prst="rect">
                                  <a:avLst/>
                                </a:prstGeom>
                                <a:solidFill>
                                  <a:srgbClr val="FFFFFF">
                                    <a:alpha val="0"/>
                                  </a:srgbClr>
                                </a:solidFill>
                                <a:ln>
                                  <a:noFill/>
                                </a:ln>
                                <a:effectLst/>
                              </wps:spPr>
                              <wps:txbx>
                                <w:txbxContent>
                                  <w:p>
                                    <w:pPr>
                                      <w:pStyle w:val="26"/>
                                      <w:adjustRightInd w:val="0"/>
                                      <w:snapToGrid w:val="0"/>
                                      <w:spacing w:before="0" w:beforeAutospacing="0" w:after="0" w:afterAutospacing="0"/>
                                      <w:ind w:left="420" w:hanging="420"/>
                                      <w:jc w:val="center"/>
                                      <w:rPr>
                                        <w:rFonts w:hint="default"/>
                                        <w:sz w:val="21"/>
                                        <w:szCs w:val="21"/>
                                      </w:rPr>
                                    </w:pPr>
                                    <w:r>
                                      <w:rPr>
                                        <w:sz w:val="21"/>
                                        <w:szCs w:val="21"/>
                                      </w:rPr>
                                      <w:t>剩余污泥</w:t>
                                    </w:r>
                                  </w:p>
                                </w:txbxContent>
                              </wps:txbx>
                              <wps:bodyPr rot="0" vert="horz" wrap="square" lIns="91440" tIns="45720" rIns="91440" bIns="45720" anchor="t" anchorCtr="0" upright="1">
                                <a:noAutofit/>
                              </wps:bodyPr>
                            </wps:wsp>
                            <wps:wsp>
                              <wps:cNvPr id="384" name="文本框 56"/>
                              <wps:cNvSpPr txBox="1">
                                <a:spLocks noChangeArrowheads="1"/>
                              </wps:cNvSpPr>
                              <wps:spPr bwMode="auto">
                                <a:xfrm>
                                  <a:off x="2391506" y="2913640"/>
                                  <a:ext cx="1157112" cy="227978"/>
                                </a:xfrm>
                                <a:prstGeom prst="rect">
                                  <a:avLst/>
                                </a:prstGeom>
                                <a:solidFill>
                                  <a:srgbClr val="FFFFFF">
                                    <a:alpha val="0"/>
                                  </a:srgbClr>
                                </a:solidFill>
                                <a:ln>
                                  <a:noFill/>
                                </a:ln>
                                <a:effectLst/>
                              </wps:spPr>
                              <wps:txbx>
                                <w:txbxContent>
                                  <w:p>
                                    <w:pPr>
                                      <w:pStyle w:val="26"/>
                                      <w:adjustRightInd w:val="0"/>
                                      <w:snapToGrid w:val="0"/>
                                      <w:spacing w:before="0" w:beforeAutospacing="0" w:after="0" w:afterAutospacing="0"/>
                                      <w:ind w:left="420" w:hanging="420"/>
                                      <w:jc w:val="center"/>
                                      <w:rPr>
                                        <w:rFonts w:hint="default"/>
                                        <w:sz w:val="21"/>
                                        <w:szCs w:val="21"/>
                                      </w:rPr>
                                    </w:pPr>
                                    <w:r>
                                      <w:rPr>
                                        <w:sz w:val="21"/>
                                        <w:szCs w:val="21"/>
                                      </w:rPr>
                                      <w:t>剩余污泥</w:t>
                                    </w:r>
                                  </w:p>
                                </w:txbxContent>
                              </wps:txbx>
                              <wps:bodyPr rot="0" vert="horz" wrap="square" lIns="91440" tIns="45720" rIns="91440" bIns="45720" anchor="t" anchorCtr="0" upright="1">
                                <a:noAutofit/>
                              </wps:bodyPr>
                            </wps:wsp>
                            <wps:wsp>
                              <wps:cNvPr id="385" name="文本框 57"/>
                              <wps:cNvSpPr txBox="1">
                                <a:spLocks noChangeArrowheads="1"/>
                              </wps:cNvSpPr>
                              <wps:spPr bwMode="auto">
                                <a:xfrm>
                                  <a:off x="2368329" y="2437232"/>
                                  <a:ext cx="1127625" cy="253302"/>
                                </a:xfrm>
                                <a:prstGeom prst="rect">
                                  <a:avLst/>
                                </a:prstGeom>
                                <a:solidFill>
                                  <a:srgbClr val="FFFFFF">
                                    <a:alpha val="0"/>
                                  </a:srgbClr>
                                </a:solidFill>
                                <a:ln>
                                  <a:noFill/>
                                </a:ln>
                                <a:effectLst/>
                              </wps:spPr>
                              <wps:txbx>
                                <w:txbxContent>
                                  <w:p>
                                    <w:pPr>
                                      <w:pStyle w:val="26"/>
                                      <w:adjustRightInd w:val="0"/>
                                      <w:snapToGrid w:val="0"/>
                                      <w:spacing w:before="0" w:beforeAutospacing="0" w:after="0" w:afterAutospacing="0"/>
                                      <w:ind w:left="420" w:hanging="420"/>
                                      <w:jc w:val="center"/>
                                      <w:rPr>
                                        <w:rFonts w:hint="default"/>
                                        <w:sz w:val="21"/>
                                        <w:szCs w:val="21"/>
                                      </w:rPr>
                                    </w:pPr>
                                    <w:r>
                                      <w:rPr>
                                        <w:sz w:val="21"/>
                                        <w:szCs w:val="21"/>
                                      </w:rPr>
                                      <w:t>剩余污泥</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441.7pt;width:331.65pt;" coordsize="4211955,5609590" editas="canvas" o:gfxdata="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">
                      <o:lock v:ext="edit" aspectratio="f"/>
                      <v:shape id="_x0000_s1026" o:spid="_x0000_s1026" style="position:absolute;left:0;top:0;height:5609590;width:4211955;" filled="f" stroked="t" coordsize="21600,21600" o:gfxdata="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">
                        <v:fill on="f" focussize="0,0"/>
                        <v:stroke color="#000000" miterlimit="8" joinstyle="miter" dashstyle="1 1" endcap="round"/>
                        <v:imagedata o:title=""/>
                        <o:lock v:ext="edit" aspectratio="f"/>
                      </v:shape>
                      <v:shape id="自选图形 1432" o:spid="_x0000_s1026" o:spt="32" type="#_x0000_t32" style="position:absolute;left:1899383;top:3915450;height:436582;width:2156;" filled="f" stroked="t" coordsize="21600,21600" o:gfxdata="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9gK7XAAAABQEAAA8AAAAAAAAAAQAgAAAAIgAAAGRycy9k&#10;b3ducmV2LnhtbFBLAQIUABQAAAAIAIdO4kA88BYYAwIAALQDAAAOAAAAAAAAAAEAIAAAACYBAABk&#10;cnMvZTJvRG9jLnhtbFBLBQYAAAAABgAGAFkBAACbBQAAAAA=&#10;">
                        <v:fill on="f" focussize="0,0"/>
                        <v:stroke color="#000000" joinstyle="round" endarrow="block"/>
                        <v:imagedata o:title=""/>
                        <o:lock v:ext="edit" aspectratio="f"/>
                      </v:shape>
                      <v:shape id="自选图形 1436" o:spid="_x0000_s1026" o:spt="32" type="#_x0000_t32" style="position:absolute;left:437028;top:3811964;height:539;width:875365;" filled="f" stroked="t" coordsize="21600,21600" o:gfxdata="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9gK7XAAAABQEAAA8AAAAAAAAAAQAgAAAAIgAAAGRycy9k&#10;b3ducmV2LnhtbFBLAQIUABQAAAAIAIdO4kCWPBR+AwIAALQDAAAOAAAAAAAAAAEAIAAAACYBAABk&#10;cnMvZTJvRG9jLnhtbFBLBQYAAAAABgAGAFkBAACbBQAAAAA=&#10;">
                        <v:fill on="f" focussize="0,0"/>
                        <v:stroke color="#000000" joinstyle="round" endarrow="block"/>
                        <v:imagedata o:title=""/>
                        <o:lock v:ext="edit" aspectratio="f"/>
                      </v:shape>
                      <v:shape id="文本框 1422" o:spid="_x0000_s1026" o:spt="202" type="#_x0000_t202" style="position:absolute;left:1012110;top:651059;height:343087;width:1778759;"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yc5l1gAAAAUBAAAPAAAAAAAAAAEAIAAAACIAAABkcnMvZG93bnJl&#10;di54bWxQSwECFAAUAAAACACHTuJAIKF1YDgCAABPBAAADgAAAAAAAAABACAAAAAl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格栅池</w:t>
                              </w:r>
                            </w:p>
                          </w:txbxContent>
                        </v:textbox>
                      </v:shape>
                      <v:shape id="自选图形 1423" o:spid="_x0000_s1026" o:spt="32" type="#_x0000_t32" style="position:absolute;left:1901539;top:235769;height:347109;width:1078;" filled="f" stroked="t" coordsize="21600,21600" o:gfxdata="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9gK7XAAAABQEAAA8AAAAAAAAAAQAgAAAAIgAAAGRycy9k&#10;b3ducmV2LnhtbFBLAQIUABQAAAAIAIdO4kAOoAdzAwIAALUDAAAOAAAAAAAAAAEAIAAAACYBAABk&#10;cnMvZTJvRG9jLnhtbFBLBQYAAAAABgAGAFkBAACbBQAAAAA=&#10;">
                        <v:fill on="f" focussize="0,0"/>
                        <v:stroke color="#000000" joinstyle="round" endarrow="block"/>
                        <v:imagedata o:title=""/>
                        <o:lock v:ext="edit" aspectratio="f"/>
                      </v:shape>
                      <v:shape id="文本框 1424" o:spid="_x0000_s1026" o:spt="202" type="#_x0000_t202" style="position:absolute;left:1059587;top:0;height:263347;width:1521000;" fillcolor="#FFFFFF" filled="t" stroked="t" coordsize="21600,21600" o:gfxdata="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raiVjWAAAABQEAAA8AAAAAAAAAAQAg&#10;AAAAIgAAAGRycy9kb3ducmV2LnhtbFBLAQIUABQAAAAIAIdO4kD8remUSQIAAG4EAAAOAAAAAAAA&#10;AAEAIAAAACUBAABkcnMvZTJvRG9jLnhtbFBLBQYAAAAABgAGAFkBAADgBQAAAAA=&#10;">
                        <v:fill on="t" focussize="0,0"/>
                        <v:stroke color="#000000" miterlimit="8" joinstyle="miter" dashstyle="1 1" endcap="round"/>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市政管网来生活污水</w:t>
                              </w:r>
                            </w:p>
                          </w:txbxContent>
                        </v:textbox>
                      </v:shape>
                      <v:shape id="文本框 1425" o:spid="_x0000_s1026" o:spt="202" type="#_x0000_t202" style="position:absolute;left:1311315;top:1416156;height:273268;width:1269387;"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JzmXWAAAABQEAAA8AAAAAAAAAAQAgAAAAIgAAAGRycy9kb3ducmV2&#10;LnhtbFBLAQIUABQAAAAIAIdO4kC/+eGLNwIAAFAEAAAOAAAAAAAAAAEAIAAAACUBAABkcnMvZTJv&#10;RG9jLnhtbFBLBQYAAAAABgAGAFkBAADOBQ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调节池</w:t>
                              </w:r>
                            </w:p>
                          </w:txbxContent>
                        </v:textbox>
                      </v:shape>
                      <v:shape id="文本框 1429" o:spid="_x0000_s1026" o:spt="202" type="#_x0000_t202" style="position:absolute;left:945861;top:5131565;height:442624;width:1845058;" fillcolor="#FFFFFF" filled="t" stroked="t" coordsize="21600,21600" o:gfxdata="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raiVjWAAAABQEAAA8AAAAAAAAA&#10;AQAgAAAAIgAAAGRycy9kb3ducmV2LnhtbFBLAQIUABQAAAAIAIdO4kCTO/X3TAIAAHMEAAAOAAAA&#10;AAAAAAEAIAAAACUBAABkcnMvZTJvRG9jLnhtbFBLBQYAAAAABgAGAFkBAADjBQAAAAA=&#10;">
                        <v:fill on="t" focussize="0,0"/>
                        <v:stroke color="#000000" miterlimit="8" joinstyle="miter" dashstyle="1 1" endcap="round"/>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处理排水至小溪沟，最后汇入诸佛江</w:t>
                              </w:r>
                            </w:p>
                          </w:txbxContent>
                        </v:textbox>
                      </v:shape>
                      <v:shape id="自选图形 1430" o:spid="_x0000_s1026" o:spt="32" type="#_x0000_t32" style="position:absolute;left:1893993;top:979574;flip:x;height:436582;width:6468;" filled="f" stroked="t" coordsize="21600,21600" o:gfxdata="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WGo0NYAAAAFAQAADwAAAAAAAAABACAAAAAiAAAA&#10;ZHJzL2Rvd25yZXYueG1sUEsBAhQAFAAAAAgAh07iQNC/3ToJAgAAvwMAAA4AAAAAAAAAAQAgAAAA&#10;JQEAAGRycy9lMm9Eb2MueG1sUEsFBgAAAAAGAAYAWQEAAKAFAAAAAA==&#10;">
                        <v:fill on="f" focussize="0,0"/>
                        <v:stroke color="#000000" joinstyle="round" endarrow="block"/>
                        <v:imagedata o:title=""/>
                        <o:lock v:ext="edit" aspectratio="f"/>
                      </v:shape>
                      <v:shape id="文本框 1435" o:spid="_x0000_s1026" o:spt="202" type="#_x0000_t202" style="position:absolute;left:35999;top:3604720;height:301603;width:975083;"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yc5l1gAAAAUBAAAPAAAAAAAAAAEAIAAAACIAAABkcnMvZG93bnJldi54&#10;bWxQSwECFAAUAAAACACHTuJAuWXKGTUCAABNBAAADgAAAAAAAAABACAAAAAlAQAAZHJzL2Uyb0Rv&#10;Yy54bWxQSwUGAAAAAAYABgBZAQAAzA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除磷剂</w:t>
                              </w:r>
                            </w:p>
                          </w:txbxContent>
                        </v:textbox>
                      </v:shape>
                      <v:shape id="自选图形 1437" o:spid="_x0000_s1026" o:spt="32" type="#_x0000_t32" style="position:absolute;left:3477088;top:3914911;flip:x;height:1269320;width:18866;" filled="f" stroked="t" coordsize="21600,21600" o:gfxdata="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tOM30gAAAAUBAAAPAAAAAAAA&#10;AAEAIAAAACIAAABkcnMvZG93bnJldi54bWxQSwECFAAUAAAACACHTuJA+quHNhgCAADaAwAADgAA&#10;AAAAAAABACAAAAAhAQAAZHJzL2Uyb0RvYy54bWxQSwUGAAAAAAYABgBZAQAAqwUAAAAA&#10;">
                        <v:fill on="f" focussize="0,0"/>
                        <v:stroke color="#000000" joinstyle="round" dashstyle="dash" endarrow="block"/>
                        <v:imagedata o:title=""/>
                        <o:lock v:ext="edit" aspectratio="f"/>
                      </v:shape>
                      <v:shape id="文本框 1443" o:spid="_x0000_s1026" o:spt="202" type="#_x0000_t202" style="position:absolute;left:2857218;top:5184658;height:279802;width:1163200;" fillcolor="#FFFFFF" filled="t" stroked="t" coordsize="21600,21600" o:gfxdata="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tqJWNYAAAAFAQAADwAAAAAA&#10;AAABACAAAAAiAAAAZHJzL2Rvd25yZXYueG1sUEsBAhQAFAAAAAgAh07iQAjKNF9OAgAAdAQAAA4A&#10;AAAAAAAAAQAgAAAAJQEAAGRycy9lMm9Eb2MueG1sUEsFBgAAAAAGAAYAWQEAAOUFAAAAAA==&#10;">
                        <v:fill on="t" focussize="0,0"/>
                        <v:stroke color="#000000" miterlimit="8" joinstyle="miter" dashstyle="1 1" endcap="round"/>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干泥外运处置</w:t>
                              </w:r>
                            </w:p>
                          </w:txbxContent>
                        </v:textbox>
                      </v:shape>
                      <v:shape id="自选图形 1444" o:spid="_x0000_s1026" o:spt="32" type="#_x0000_t32" style="position:absolute;left:2790918;top:781226;height:539;width:360603;" filled="f" stroked="t" coordsize="21600,21600" o:gfxdata="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iKzVdQAAAAFAQAADwAAAAAAAAABACAAAAAi&#10;AAAAZHJzL2Rvd25yZXYueG1sUEsBAhQAFAAAAAgAh07iQBgyPuoOAgAAzAMAAA4AAAAAAAAAAQAg&#10;AAAAIwEAAGRycy9lMm9Eb2MueG1sUEsFBgAAAAAGAAYAWQEAAKMFAAAAAA==&#10;">
                        <v:fill on="f" focussize="0,0"/>
                        <v:stroke color="#000000" joinstyle="round" dashstyle="dash" endarrow="block"/>
                        <v:imagedata o:title=""/>
                        <o:lock v:ext="edit" aspectratio="f"/>
                      </v:shape>
                      <v:shape id="文本框 1445" o:spid="_x0000_s1026" o:spt="202" type="#_x0000_t202" style="position:absolute;left:3151521;top:687634;height:292401;width:1060787;" fillcolor="#FFFFFF" filled="t" stroked="t" coordsize="21600,21600" o:gfxdata="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q2olY1gAAAAUBAAAPAAAAAAAA&#10;AAEAIAAAACIAAABkcnMvZG93bnJldi54bWxQSwECFAAUAAAACACHTuJA6qm/ck0CAABzBAAADgAA&#10;AAAAAAABACAAAAAlAQAAZHJzL2Uyb0RvYy54bWxQSwUGAAAAAAYABgBZAQAA5AUAAAAA&#10;">
                        <v:fill on="t" focussize="0,0"/>
                        <v:stroke color="#000000" miterlimit="8" joinstyle="miter" dashstyle="1 1" endcap="round"/>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栅渣外运处置</w:t>
                              </w:r>
                            </w:p>
                          </w:txbxContent>
                        </v:textbox>
                      </v:shape>
                      <v:shape id="文本框 1446" o:spid="_x0000_s1026" o:spt="202" type="#_x0000_t202" style="position:absolute;left:1303229;top:4351704;height:293454;width:1163200;"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8nOZdYAAAAFAQAADwAAAAAAAAABACAAAAAiAAAAZHJzL2Rvd25y&#10;ZXYueG1sUEsBAhQAFAAAAAgAh07iQN8kbz05AgAAUAQAAA4AAAAAAAAAAQAgAAAAJQEAAGRycy9l&#10;Mm9Eb2MueG1sUEsFBgAAAAAGAAYAWQEAANAFA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消毒计量排放渠</w:t>
                              </w:r>
                            </w:p>
                          </w:txbxContent>
                        </v:textbox>
                      </v:shape>
                      <v:shape id="自选图形 1447" o:spid="_x0000_s1026" o:spt="32" type="#_x0000_t32" style="position:absolute;left:1904773;top:4675578;height:436582;width:2156;" filled="f" stroked="t" coordsize="21600,21600" o:gfxdata="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f2ArtcAAAAFAQAADwAAAAAAAAABACAAAAAiAAAAZHJz&#10;L2Rvd25yZXYueG1sUEsBAhQAFAAAAAgAh07iQNwkq/UFAgAAtgMAAA4AAAAAAAAAAQAgAAAAJgEA&#10;AGRycy9lMm9Eb2MueG1sUEsFBgAAAAAGAAYAWQEAAJ0FAAAAAA==&#10;">
                        <v:fill on="f" focussize="0,0"/>
                        <v:stroke color="#000000" joinstyle="round" endarrow="block"/>
                        <v:imagedata o:title=""/>
                        <o:lock v:ext="edit" aspectratio="f"/>
                      </v:shape>
                      <v:shape id="自选图形 1448" o:spid="_x0000_s1026" o:spt="32" type="#_x0000_t32" style="position:absolute;left:3693234;top:1306202;height:2158114;width:0;" filled="f" stroked="t" coordsize="21600,21600" o:gfxdata="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is1XUAAAABQEAAA8AAAAAAAAAAQAgAAAAIgAA&#10;AGRycy9kb3ducmV2LnhtbFBLAQIUABQAAAAIAIdO4kB3oYuoDAIAAMwDAAAOAAAAAAAAAAEAIAAA&#10;ACMBAABkcnMvZTJvRG9jLnhtbFBLBQYAAAAABgAGAFkBAAChBQAAAAA=&#10;">
                        <v:fill on="f" focussize="0,0"/>
                        <v:stroke color="#000000" joinstyle="round" dashstyle="dash" endarrow="block"/>
                        <v:imagedata o:title=""/>
                        <o:lock v:ext="edit" aspectratio="f"/>
                      </v:shape>
                      <v:shape id="自选图形 1449" o:spid="_x0000_s1026" o:spt="32" type="#_x0000_t32" style="position:absolute;left:2581241;top:1284643;height:539;width:1140023;" filled="f" stroked="t" coordsize="21600,21600" o:gfxdata="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kOfvWAAAABQEAAA8AAAAAAAAAAQAgAAAAIgAAAGRycy9kb3ducmV2LnhtbFBLAQIU&#10;ABQAAAAIAIdO4kCJfRuA9QEAAKADAAAOAAAAAAAAAAEAIAAAACUBAABkcnMvZTJvRG9jLnhtbFBL&#10;BQYAAAAABgAGAFkBAACMBQAAAAA=&#10;">
                        <v:fill on="f" focussize="0,0"/>
                        <v:stroke color="#000000" joinstyle="round" dashstyle="dash"/>
                        <v:imagedata o:title=""/>
                        <o:lock v:ext="edit" aspectratio="f"/>
                      </v:shape>
                      <v:shape id="自选图形 1450" o:spid="_x0000_s1026" o:spt="32" type="#_x0000_t32" style="position:absolute;left:2580702;top:990893;height:294288;width:539;" filled="f" stroked="t" coordsize="21600,21600" o:gfxdata="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SQ5+9YAAAAFAQAADwAAAAAAAAABACAAAAAiAAAAZHJzL2Rvd25yZXYueG1sUEsBAhQA&#10;FAAAAAgAh07iQBvq4Hr0AQAAngMAAA4AAAAAAAAAAQAgAAAAJQEAAGRycy9lMm9Eb2MueG1sUEsF&#10;BgAAAAAGAAYAWQEAAIsFAAAAAA==&#10;">
                        <v:fill on="f" focussize="0,0"/>
                        <v:stroke color="#000000" joinstyle="round" dashstyle="dash"/>
                        <v:imagedata o:title=""/>
                        <o:lock v:ext="edit" aspectratio="f"/>
                      </v:shape>
                      <v:shape id="文本框 1441" o:spid="_x0000_s1026" o:spt="202" type="#_x0000_t202" style="position:absolute;left:2790918;top:3576868;height:314824;width:1163200;"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yc5l1gAAAAUBAAAPAAAAAAAAAAEAIAAAACIAAABkcnMvZG93bnJl&#10;di54bWxQSwECFAAUAAAACACHTuJAxMkwlzgCAABQBAAADgAAAAAAAAABACAAAAAl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污泥干化池</w:t>
                              </w:r>
                            </w:p>
                          </w:txbxContent>
                        </v:textbox>
                      </v:shape>
                      <v:shape id="自选图形 1436" o:spid="_x0000_s1026" o:spt="32" type="#_x0000_t32" style="position:absolute;left:437028;top:4534210;height:539;width:875365;" filled="f" stroked="t" coordsize="21600,21600" o:gfxdata="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9gK7XAAAABQEAAA8AAAAAAAAAAQAgAAAAIgAAAGRycy9k&#10;b3ducmV2LnhtbFBLAQIUABQAAAAIAIdO4kA4oGdSAwIAALQDAAAOAAAAAAAAAAEAIAAAACYBAABk&#10;cnMvZTJvRG9jLnhtbFBLBQYAAAAABgAGAFkBAACbBQAAAAA=&#10;">
                        <v:fill on="f" focussize="0,0"/>
                        <v:stroke color="#000000" joinstyle="round" endarrow="block"/>
                        <v:imagedata o:title=""/>
                        <o:lock v:ext="edit" aspectratio="f"/>
                      </v:shape>
                      <v:shape id="文本框 1435" o:spid="_x0000_s1026" o:spt="202" type="#_x0000_t202" style="position:absolute;left:35999;top:4326912;height:274355;width:975083;"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JzmXWAAAABQEAAA8AAAAAAAAAAQAgAAAAIgAAAGRycy9kb3ducmV2&#10;LnhtbFBLAQIUABQAAAAIAIdO4kBoQatRNwIAAE0EAAAOAAAAAAAAAAEAIAAAACUBAABkcnMvZTJv&#10;RG9jLnhtbFBLBQYAAAAABgAGAFkBAADOBQ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消毒剂</w:t>
                              </w:r>
                            </w:p>
                          </w:txbxContent>
                        </v:textbox>
                      </v:shape>
                      <v:shape id="文本框 1425" o:spid="_x0000_s1026" o:spt="202" type="#_x0000_t202" style="position:absolute;left:1303229;top:1949756;height:273268;width:1269387;"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yc5l1gAAAAUBAAAPAAAAAAAAAAEAIAAAACIAAABkcnMvZG93bnJldi54&#10;bWxQSwECFAAUAAAACACHTuJAechRyzUCAABQBAAADgAAAAAAAAABACAAAAAlAQAAZHJzL2Uyb0Rv&#10;Yy54bWxQSwUGAAAAAAYABgBZAQAAzA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缺氧池</w:t>
                              </w:r>
                            </w:p>
                            <w:p>
                              <w:pPr>
                                <w:spacing w:line="240" w:lineRule="auto"/>
                                <w:ind w:firstLine="0" w:firstLineChars="0"/>
                                <w:jc w:val="center"/>
                                <w:rPr>
                                  <w:szCs w:val="28"/>
                                </w:rPr>
                              </w:pPr>
                            </w:p>
                          </w:txbxContent>
                        </v:textbox>
                      </v:shape>
                      <v:shape id="文本框 1425" o:spid="_x0000_s1026" o:spt="202" type="#_x0000_t202" style="position:absolute;left:1312393;top:2496830;height:273268;width:1269387;"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JzmXWAAAABQEAAA8AAAAAAAAAAQAgAAAAIgAAAGRycy9kb3ducmV2&#10;LnhtbFBLAQIUABQAAAAIAIdO4kDrqJECNwIAAFAEAAAOAAAAAAAAAAEAIAAAACUBAABkcnMvZTJv&#10;RG9jLnhtbFBLBQYAAAAABgAGAFkBAADOBQ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好氧池</w:t>
                              </w:r>
                            </w:p>
                            <w:p>
                              <w:pPr>
                                <w:spacing w:line="240" w:lineRule="auto"/>
                                <w:ind w:firstLine="0" w:firstLineChars="0"/>
                                <w:rPr>
                                  <w:szCs w:val="28"/>
                                </w:rPr>
                              </w:pPr>
                            </w:p>
                          </w:txbxContent>
                        </v:textbox>
                      </v:shape>
                      <v:shape id="文本框 1425" o:spid="_x0000_s1026" o:spt="202" type="#_x0000_t202" style="position:absolute;left:1303229;top:3078939;height:273268;width:1269387;"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yc5l1gAAAAUBAAAPAAAAAAAAAAEAIAAAACIAAABkcnMvZG93bnJl&#10;di54bWxQSwECFAAUAAAACACHTuJABIK7OjgCAABQBAAADgAAAAAAAAABACAAAAAl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静沉区</w:t>
                              </w:r>
                            </w:p>
                          </w:txbxContent>
                        </v:textbox>
                      </v:shape>
                      <v:shape id="自选图形 28" o:spid="_x0000_s1026" o:spt="32" type="#_x0000_t32" style="position:absolute;left:1938192;top:1689424;flip:x;height:260332;width:8085;" filled="f" stroked="t" coordsize="21600,21600" o:gfxdata="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&#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YajQ1gAAAAUBAAAPAAAAAAAAAAEAIAAAACIAAABk&#10;cnMvZG93bnJldi54bWxQSwECFAAUAAAACACHTuJArh74oQgCAAC+AwAADgAAAAAAAAABACAAAAAl&#10;AQAAZHJzL2Uyb0RvYy54bWxQSwUGAAAAAAYABgBZAQAAnwUAAAAA&#10;">
                        <v:fill on="f" focussize="0,0"/>
                        <v:stroke color="#000000" joinstyle="round" endarrow="block"/>
                        <v:imagedata o:title=""/>
                        <o:lock v:ext="edit" aspectratio="f"/>
                      </v:shape>
                      <v:shape id="自选图形 29" o:spid="_x0000_s1026" o:spt="32" type="#_x0000_t32" style="position:absolute;left:1946278;top:2223023;flip:x;height:260332;width:8085;" filled="f" stroked="t" coordsize="21600,21600" o:gfxdata="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lhqNDWAAAABQEAAA8AAAAAAAAAAQAgAAAAIgAAAGRy&#10;cy9kb3ducmV2LnhtbFBLAQIUABQAAAAIAIdO4kCpT2a3BwIAAL4DAAAOAAAAAAAAAAEAIAAAACUB&#10;AABkcnMvZTJvRG9jLnhtbFBLBQYAAAAABgAGAFkBAACeBQAAAAA=&#10;">
                        <v:fill on="f" focussize="0,0"/>
                        <v:stroke color="#000000" joinstyle="round" endarrow="block"/>
                        <v:imagedata o:title=""/>
                        <o:lock v:ext="edit" aspectratio="f"/>
                      </v:shape>
                      <v:shape id="自选图形 30" o:spid="_x0000_s1026" o:spt="32" type="#_x0000_t32" style="position:absolute;left:1954363;top:2770098;flip:x;height:260332;width:8085;" filled="f" stroked="t" coordsize="21600,21600" o:gfxdata="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YajQ1gAAAAUBAAAPAAAAAAAAAAEAIAAAACIAAABk&#10;cnMvZG93bnJldi54bWxQSwECFAAUAAAACACHTuJAsd3o+AgCAAC+AwAADgAAAAAAAAABACAAAAAl&#10;AQAAZHJzL2Uyb0RvYy54bWxQSwUGAAAAAAYABgBZAQAAnwUAAAAA&#10;">
                        <v:fill on="f" focussize="0,0"/>
                        <v:stroke color="#000000" joinstyle="round" endarrow="block"/>
                        <v:imagedata o:title=""/>
                        <o:lock v:ext="edit" aspectratio="f"/>
                      </v:shape>
                      <v:shape id="自选图形 31" o:spid="_x0000_s1026" o:spt="32" type="#_x0000_t32" style="position:absolute;left:1954363;top:3352206;flip:x;height:260332;width:8085;" filled="f" stroked="t" coordsize="21600,21600" o:gfxdata="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&#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YajQ1gAAAAUBAAAPAAAAAAAAAAEAIAAAACIAAABk&#10;cnMvZG93bnJldi54bWxQSwECFAAUAAAACACHTuJAq78hVggCAAC+AwAADgAAAAAAAAABACAAAAAl&#10;AQAAZHJzL2Uyb0RvYy54bWxQSwUGAAAAAAYABgBZAQAAnwUAAAAA&#10;">
                        <v:fill on="f" focussize="0,0"/>
                        <v:stroke color="#000000" joinstyle="round" endarrow="block"/>
                        <v:imagedata o:title=""/>
                        <o:lock v:ext="edit" aspectratio="f"/>
                      </v:shape>
                      <v:shape id="自选图形 1436" o:spid="_x0000_s1026" o:spt="32" type="#_x0000_t32" style="position:absolute;left:1906929;top:3811425;height:539;width:875365;" filled="f" stroked="t" coordsize="21600,21600" o:gfxdata="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f2ArtcAAAAFAQAADwAAAAAAAAABACAAAAAiAAAAZHJzL2Rv&#10;d25yZXYueG1sUEsBAhQAFAAAAAgAh07iQCzLCnECAgAAtQMAAA4AAAAAAAAAAQAgAAAAJgEAAGRy&#10;cy9lMm9Eb2MueG1sUEsFBgAAAAAGAAYAWQEAAJoFAAAAAA==&#10;">
                        <v:fill on="f" focussize="0,0"/>
                        <v:stroke color="#000000" joinstyle="round" endarrow="block"/>
                        <v:imagedata o:title=""/>
                        <o:lock v:ext="edit" aspectratio="f"/>
                      </v:shape>
                      <v:shape id="文本框 1425" o:spid="_x0000_s1026" o:spt="202" type="#_x0000_t202" style="position:absolute;left:1303229;top:3642183;height:273268;width:1269387;" fillcolor="#FFFFFF" filled="t" stroked="t" coordsize="21600,21600" o:gfxdata="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yc5l1gAAAAUBAAAPAAAAAAAAAAEAIAAAACIAAABkcnMvZG93bnJl&#10;di54bWxQSwECFAAUAAAACACHTuJA7chp6DgCAABQBAAADgAAAAAAAAABACAAAAAl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混凝沉淀池</w:t>
                              </w:r>
                            </w:p>
                          </w:txbxContent>
                        </v:textbox>
                      </v:shape>
                      <v:shape id="自选图形 1449" o:spid="_x0000_s1026" o:spt="32" type="#_x0000_t32" style="position:absolute;left:2604418;top:1519103;flip:y;height:3234;width:832782;" filled="f" stroked="t" coordsize="21600,21600" o:gfxdata="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o881tUAAAAFAQAADwAAAAAAAAABACAAAAAiAAAAZHJzL2Rvd25yZXYueG1s&#10;UEsBAhQAFAAAAAgAh07iQAh7PnT7AQAAqgMAAA4AAAAAAAAAAQAgAAAAJAEAAGRycy9lMm9Eb2Mu&#10;eG1sUEsFBgAAAAAGAAYAWQEAAJEFAAAAAA==&#10;">
                        <v:fill on="f" focussize="0,0"/>
                        <v:stroke color="#000000" joinstyle="round" dashstyle="dash"/>
                        <v:imagedata o:title=""/>
                        <o:lock v:ext="edit" aspectratio="f"/>
                      </v:shape>
                      <v:shape id="自选图形 1449" o:spid="_x0000_s1026" o:spt="32" type="#_x0000_t32" style="position:absolute;left:2589865;top:2079113;flip:y;height:0;width:825775;" filled="f" stroked="t" coordsize="21600,21600" o:gfxdata="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aPPNbVAAAABQEAAA8AAAAAAAAAAQAgAAAAIgAAAGRycy9kb3ducmV2LnhtbFBL&#10;AQIUABQAAAAIAIdO4kBEZyny+QEAAKcDAAAOAAAAAAAAAAEAIAAAACQBAABkcnMvZTJvRG9jLnht&#10;bFBLBQYAAAAABgAGAFkBAACPBQAAAAA=&#10;">
                        <v:fill on="f" focussize="0,0"/>
                        <v:stroke color="#000000" joinstyle="round" dashstyle="dash"/>
                        <v:imagedata o:title=""/>
                        <o:lock v:ext="edit" aspectratio="f"/>
                      </v:shape>
                      <v:shape id="自选图形 1449" o:spid="_x0000_s1026" o:spt="32" type="#_x0000_t32" style="position:absolute;left:2582319;top:2657988;flip:y;height:0;width:825775;" filled="f" stroked="t" coordsize="21600,21600" o:gfxdata="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aPPNbVAAAABQEAAA8AAAAAAAAAAQAgAAAAIgAAAGRycy9kb3ducmV2LnhtbFBL&#10;AQIUABQAAAAIAIdO4kDgiJKR+QEAAKcDAAAOAAAAAAAAAAEAIAAAACQBAABkcnMvZTJvRG9jLnht&#10;bFBLBQYAAAAABgAGAFkBAACPBQAAAAA=&#10;">
                        <v:fill on="f" focussize="0,0"/>
                        <v:stroke color="#000000" joinstyle="round" dashstyle="dash"/>
                        <v:imagedata o:title=""/>
                        <o:lock v:ext="edit" aspectratio="f"/>
                      </v:shape>
                      <v:shape id="自选图形 1449" o:spid="_x0000_s1026" o:spt="32" type="#_x0000_t32" style="position:absolute;left:2589865;top:3142000;flip:y;height:0;width:825775;" filled="f" stroked="t" coordsize="21600,21600" o:gfxdata="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jzzW1QAAAAUBAAAPAAAAAAAAAAEAIAAAACIAAABkcnMvZG93bnJldi54bWxQSwEC&#10;FAAUAAAACACHTuJAQ0xSkPcBAACnAwAADgAAAAAAAAABACAAAAAkAQAAZHJzL2Uyb0RvYy54bWxQ&#10;SwUGAAAAAAYABgBZAQAAjQUAAAAA&#10;">
                        <v:fill on="f" focussize="0,0"/>
                        <v:stroke color="#000000" joinstyle="round" dashstyle="dash"/>
                        <v:imagedata o:title=""/>
                        <o:lock v:ext="edit" aspectratio="f"/>
                      </v:shape>
                      <v:shape id="自选图形 1448" o:spid="_x0000_s1026" o:spt="32" type="#_x0000_t32" style="position:absolute;left:3439896;top:1507784;height:1957071;width:11319;" filled="f" stroked="t" coordsize="21600,21600" o:gfxdata="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iKzVdQAAAAFAQAADwAAAAAAAAABACAA&#10;AAAiAAAAZHJzL2Rvd25yZXYueG1sUEsBAhQAFAAAAAgAh07iQOZzMWIRAgAA0AMAAA4AAAAAAAAA&#10;AQAgAAAAIwEAAGRycy9lMm9Eb2MueG1sUEsFBgAAAAAGAAYAWQEAAKYFAAAAAA==&#10;">
                        <v:fill on="f" focussize="0,0"/>
                        <v:stroke color="#000000" joinstyle="round" dashstyle="dash" endarrow="block"/>
                        <v:imagedata o:title=""/>
                        <o:lock v:ext="edit" aspectratio="f"/>
                      </v:shape>
                      <v:shape id="文本框 54" o:spid="_x0000_s1026" o:spt="202" type="#_x0000_t202" style="position:absolute;left:2464813;top:1822862;height:289742;width:1083805;" fillcolor="#FFFFFF" filled="t" stroked="f" coordsize="21600,21600" o:gfxdata="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Ixou1QAAAAUBAAAPAAAAAAAAAAEAIAAAACIAAABkcnMvZG93bnJldi54bWxQSwEC&#10;FAAUAAAACACHTuJAtkan+zACAAAqBAAADgAAAAAAAAABACAAAAAkAQAAZHJzL2Uyb0RvYy54bWxQ&#10;SwUGAAAAAAYABgBZAQAAxgUAAAAA&#10;">
                        <v:fill on="t" opacity="0f" focussize="0,0"/>
                        <v:stroke on="f"/>
                        <v:imagedata o:title=""/>
                        <o:lock v:ext="edit" aspectratio="f"/>
                        <v:textbox>
                          <w:txbxContent>
                            <w:p>
                              <w:pPr>
                                <w:pStyle w:val="26"/>
                                <w:adjustRightInd w:val="0"/>
                                <w:snapToGrid w:val="0"/>
                                <w:spacing w:before="0" w:beforeAutospacing="0" w:after="0" w:afterAutospacing="0"/>
                                <w:ind w:left="420" w:hanging="420"/>
                                <w:jc w:val="center"/>
                                <w:rPr>
                                  <w:rFonts w:hint="default"/>
                                  <w:sz w:val="21"/>
                                  <w:szCs w:val="21"/>
                                </w:rPr>
                              </w:pPr>
                              <w:r>
                                <w:rPr>
                                  <w:sz w:val="21"/>
                                  <w:szCs w:val="21"/>
                                </w:rPr>
                                <w:t>剩余污泥</w:t>
                              </w:r>
                            </w:p>
                          </w:txbxContent>
                        </v:textbox>
                      </v:shape>
                      <v:shape id="文本框 55" o:spid="_x0000_s1026" o:spt="202" type="#_x0000_t202" style="position:absolute;left:2471281;top:1330286;height:256136;width:1085963;" fillcolor="#FFFFFF" filled="t" stroked="f" coordsize="21600,21600" o:gfxdata="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Ixou1QAAAAUBAAAPAAAAAAAAAAEAIAAAACIAAABkcnMvZG93bnJldi54bWxQSwEC&#10;FAAUAAAACACHTuJAnaKRGDACAAAqBAAADgAAAAAAAAABACAAAAAkAQAAZHJzL2Uyb0RvYy54bWxQ&#10;SwUGAAAAAAYABgBZAQAAxgUAAAAA&#10;">
                        <v:fill on="t" opacity="0f" focussize="0,0"/>
                        <v:stroke on="f"/>
                        <v:imagedata o:title=""/>
                        <o:lock v:ext="edit" aspectratio="f"/>
                        <v:textbox>
                          <w:txbxContent>
                            <w:p>
                              <w:pPr>
                                <w:pStyle w:val="26"/>
                                <w:adjustRightInd w:val="0"/>
                                <w:snapToGrid w:val="0"/>
                                <w:spacing w:before="0" w:beforeAutospacing="0" w:after="0" w:afterAutospacing="0"/>
                                <w:ind w:left="420" w:hanging="420"/>
                                <w:jc w:val="center"/>
                                <w:rPr>
                                  <w:rFonts w:hint="default"/>
                                  <w:sz w:val="21"/>
                                  <w:szCs w:val="21"/>
                                </w:rPr>
                              </w:pPr>
                              <w:r>
                                <w:rPr>
                                  <w:sz w:val="21"/>
                                  <w:szCs w:val="21"/>
                                </w:rPr>
                                <w:t>剩余污泥</w:t>
                              </w:r>
                            </w:p>
                          </w:txbxContent>
                        </v:textbox>
                      </v:shape>
                      <v:shape id="文本框 56" o:spid="_x0000_s1026" o:spt="202" type="#_x0000_t202" style="position:absolute;left:2391506;top:2913640;height:227978;width:1157112;" fillcolor="#FFFFFF" filled="t" stroked="f" coordsize="21600,21600" o:gfxdata="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yMaLtUAAAAFAQAADwAAAAAAAAABACAAAAAiAAAAZHJzL2Rvd25yZXYueG1sUEsBAhQA&#10;FAAAAAgAh07iQAY065guAgAAKgQAAA4AAAAAAAAAAQAgAAAAJAEAAGRycy9lMm9Eb2MueG1sUEsF&#10;BgAAAAAGAAYAWQEAAMQFAAAAAA==&#10;">
                        <v:fill on="t" opacity="0f" focussize="0,0"/>
                        <v:stroke on="f"/>
                        <v:imagedata o:title=""/>
                        <o:lock v:ext="edit" aspectratio="f"/>
                        <v:textbox>
                          <w:txbxContent>
                            <w:p>
                              <w:pPr>
                                <w:pStyle w:val="26"/>
                                <w:adjustRightInd w:val="0"/>
                                <w:snapToGrid w:val="0"/>
                                <w:spacing w:before="0" w:beforeAutospacing="0" w:after="0" w:afterAutospacing="0"/>
                                <w:ind w:left="420" w:hanging="420"/>
                                <w:jc w:val="center"/>
                                <w:rPr>
                                  <w:rFonts w:hint="default"/>
                                  <w:sz w:val="21"/>
                                  <w:szCs w:val="21"/>
                                </w:rPr>
                              </w:pPr>
                              <w:r>
                                <w:rPr>
                                  <w:sz w:val="21"/>
                                  <w:szCs w:val="21"/>
                                </w:rPr>
                                <w:t>剩余污泥</w:t>
                              </w:r>
                            </w:p>
                          </w:txbxContent>
                        </v:textbox>
                      </v:shape>
                      <v:shape id="文本框 57" o:spid="_x0000_s1026" o:spt="202" type="#_x0000_t202" style="position:absolute;left:2368329;top:2437232;height:253302;width:1127625;" fillcolor="#FFFFFF" filled="t" stroked="f" coordsize="21600,21600" o:gfxdata="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yMaLtUAAAAFAQAADwAAAAAAAAABACAAAAAiAAAAZHJzL2Rvd25yZXYueG1sUEsBAhQA&#10;FAAAAAgAh07iQLTj9XQuAgAAKgQAAA4AAAAAAAAAAQAgAAAAJAEAAGRycy9lMm9Eb2MueG1sUEsF&#10;BgAAAAAGAAYAWQEAAMQFAAAAAA==&#10;">
                        <v:fill on="t" opacity="0f" focussize="0,0"/>
                        <v:stroke on="f"/>
                        <v:imagedata o:title=""/>
                        <o:lock v:ext="edit" aspectratio="f"/>
                        <v:textbox>
                          <w:txbxContent>
                            <w:p>
                              <w:pPr>
                                <w:pStyle w:val="26"/>
                                <w:adjustRightInd w:val="0"/>
                                <w:snapToGrid w:val="0"/>
                                <w:spacing w:before="0" w:beforeAutospacing="0" w:after="0" w:afterAutospacing="0"/>
                                <w:ind w:left="420" w:hanging="420"/>
                                <w:jc w:val="center"/>
                                <w:rPr>
                                  <w:rFonts w:hint="default"/>
                                  <w:sz w:val="21"/>
                                  <w:szCs w:val="21"/>
                                </w:rPr>
                              </w:pPr>
                              <w:r>
                                <w:rPr>
                                  <w:sz w:val="21"/>
                                  <w:szCs w:val="21"/>
                                </w:rPr>
                                <w:t>剩余污泥</w:t>
                              </w:r>
                            </w:p>
                          </w:txbxContent>
                        </v:textbox>
                      </v:shape>
                      <w10:wrap type="none"/>
                      <w10:anchorlock/>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第三方取水情况</w:t>
            </w:r>
          </w:p>
        </w:tc>
        <w:tc>
          <w:tcPr>
            <w:tcW w:w="7167" w:type="dxa"/>
            <w:gridSpan w:val="7"/>
            <w:shd w:val="clear" w:color="auto" w:fill="auto"/>
            <w:vAlign w:val="center"/>
          </w:tcPr>
          <w:p>
            <w:pPr>
              <w:pStyle w:val="58"/>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第三方排水情况</w:t>
            </w:r>
          </w:p>
        </w:tc>
        <w:tc>
          <w:tcPr>
            <w:tcW w:w="7167" w:type="dxa"/>
            <w:gridSpan w:val="7"/>
            <w:shd w:val="clear" w:color="auto" w:fill="auto"/>
            <w:vAlign w:val="center"/>
          </w:tcPr>
          <w:p>
            <w:pPr>
              <w:pStyle w:val="5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入河排污口下游约</w:t>
            </w:r>
            <w:r>
              <w:rPr>
                <w:color w:val="000000" w:themeColor="text1"/>
                <w:sz w:val="18"/>
                <w:szCs w:val="18"/>
                <w14:textFill>
                  <w14:solidFill>
                    <w14:schemeClr w14:val="tx1"/>
                  </w14:solidFill>
                </w14:textFill>
              </w:rPr>
              <w:t>10</w:t>
            </w:r>
            <w:r>
              <w:rPr>
                <w:rFonts w:hint="eastAsia"/>
                <w:color w:val="000000" w:themeColor="text1"/>
                <w:sz w:val="18"/>
                <w:szCs w:val="18"/>
                <w14:textFill>
                  <w14:solidFill>
                    <w14:schemeClr w14:val="tx1"/>
                  </w14:solidFill>
                </w14:textFill>
              </w:rPr>
              <w:t>km诸佛乡污水处理厂，下游约</w:t>
            </w:r>
            <w:r>
              <w:rPr>
                <w:color w:val="000000" w:themeColor="text1"/>
                <w:sz w:val="18"/>
                <w:szCs w:val="18"/>
                <w14:textFill>
                  <w14:solidFill>
                    <w14:schemeClr w14:val="tx1"/>
                  </w14:solidFill>
                </w14:textFill>
              </w:rPr>
              <w:t>14</w:t>
            </w:r>
            <w:r>
              <w:rPr>
                <w:rFonts w:hint="eastAsia"/>
                <w:color w:val="000000" w:themeColor="text1"/>
                <w:sz w:val="18"/>
                <w:szCs w:val="18"/>
                <w14:textFill>
                  <w14:solidFill>
                    <w14:schemeClr w14:val="tx1"/>
                  </w14:solidFill>
                </w14:textFill>
              </w:rPr>
              <w:t>km处桑拓镇污水处理厂，下游约</w:t>
            </w:r>
            <w:r>
              <w:rPr>
                <w:color w:val="000000" w:themeColor="text1"/>
                <w:sz w:val="18"/>
                <w:szCs w:val="18"/>
                <w14:textFill>
                  <w14:solidFill>
                    <w14:schemeClr w14:val="tx1"/>
                  </w14:solidFill>
                </w14:textFill>
              </w:rPr>
              <w:t>22</w:t>
            </w:r>
            <w:r>
              <w:rPr>
                <w:rFonts w:hint="eastAsia"/>
                <w:color w:val="000000" w:themeColor="text1"/>
                <w:sz w:val="18"/>
                <w:szCs w:val="18"/>
                <w14:textFill>
                  <w14:solidFill>
                    <w14:schemeClr w14:val="tx1"/>
                  </w14:solidFill>
                </w14:textFill>
              </w:rPr>
              <w:t>km处梅子垭污水处理厂和鞍子镇污水处理厂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水生态影响</w:t>
            </w:r>
          </w:p>
        </w:tc>
        <w:tc>
          <w:tcPr>
            <w:tcW w:w="7167" w:type="dxa"/>
            <w:gridSpan w:val="7"/>
            <w:shd w:val="clear" w:color="auto" w:fill="auto"/>
            <w:vAlign w:val="center"/>
          </w:tcPr>
          <w:p>
            <w:pPr>
              <w:pStyle w:val="58"/>
              <w:rPr>
                <w:color w:val="000000" w:themeColor="text1"/>
                <w:spacing w:val="-2"/>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经调查，</w:t>
            </w:r>
            <w:r>
              <w:rPr>
                <w:rFonts w:hint="eastAsia"/>
                <w:color w:val="000000" w:themeColor="text1"/>
                <w:kern w:val="0"/>
                <w:sz w:val="18"/>
                <w:szCs w:val="18"/>
                <w14:textFill>
                  <w14:solidFill>
                    <w14:schemeClr w14:val="tx1"/>
                  </w14:solidFill>
                </w14:textFill>
              </w:rPr>
              <w:t>诸佛江</w:t>
            </w:r>
            <w:r>
              <w:rPr>
                <w:color w:val="000000" w:themeColor="text1"/>
                <w:kern w:val="0"/>
                <w:sz w:val="18"/>
                <w:szCs w:val="18"/>
                <w14:textFill>
                  <w14:solidFill>
                    <w14:schemeClr w14:val="tx1"/>
                  </w14:solidFill>
                </w14:textFill>
              </w:rPr>
              <w:t>流域目前未见国家和重庆市珍稀保护鱼类、特有物种、无珍稀水生植物和外来物种分布，也不涉及其他珍稀保护鱼类分布。</w:t>
            </w:r>
            <w:r>
              <w:rPr>
                <w:rFonts w:hint="eastAsia"/>
                <w:color w:val="000000" w:themeColor="text1"/>
                <w:spacing w:val="-2"/>
                <w:kern w:val="0"/>
                <w:sz w:val="18"/>
                <w:szCs w:val="18"/>
                <w14:textFill>
                  <w14:solidFill>
                    <w14:schemeClr w14:val="tx1"/>
                  </w14:solidFill>
                </w14:textFill>
              </w:rPr>
              <w:t>项目正常排放时，受纳水体诸佛江水质满足</w:t>
            </w:r>
            <w:r>
              <w:rPr>
                <w:color w:val="000000" w:themeColor="text1"/>
                <w:spacing w:val="-2"/>
                <w:kern w:val="0"/>
                <w:sz w:val="18"/>
                <w:szCs w:val="18"/>
                <w14:textFill>
                  <w14:solidFill>
                    <w14:schemeClr w14:val="tx1"/>
                  </w14:solidFill>
                </w14:textFill>
              </w:rPr>
              <w:t>《地表水环境质量标准》（GB 3838-2002）Ⅲ类标准</w:t>
            </w:r>
            <w:r>
              <w:rPr>
                <w:rFonts w:hint="eastAsia"/>
                <w:color w:val="000000" w:themeColor="text1"/>
                <w:spacing w:val="-2"/>
                <w:kern w:val="0"/>
                <w:sz w:val="18"/>
                <w:szCs w:val="18"/>
                <w14:textFill>
                  <w14:solidFill>
                    <w14:schemeClr w14:val="tx1"/>
                  </w14:solidFill>
                </w14:textFill>
              </w:rPr>
              <w:t>；排放</w:t>
            </w:r>
            <w:r>
              <w:rPr>
                <w:color w:val="000000" w:themeColor="text1"/>
                <w:spacing w:val="-2"/>
                <w:kern w:val="0"/>
                <w:sz w:val="18"/>
                <w:szCs w:val="18"/>
                <w14:textFill>
                  <w14:solidFill>
                    <w14:schemeClr w14:val="tx1"/>
                  </w14:solidFill>
                </w14:textFill>
              </w:rPr>
              <w:t>废污水的温度与环境温度一</w:t>
            </w:r>
            <w:r>
              <w:rPr>
                <w:rFonts w:hint="eastAsia"/>
                <w:color w:val="000000" w:themeColor="text1"/>
                <w:spacing w:val="-2"/>
                <w:kern w:val="0"/>
                <w:sz w:val="18"/>
                <w:szCs w:val="18"/>
                <w14:textFill>
                  <w14:solidFill>
                    <w14:schemeClr w14:val="tx1"/>
                  </w14:solidFill>
                </w14:textFill>
              </w:rPr>
              <w:t>致，</w:t>
            </w:r>
            <w:r>
              <w:rPr>
                <w:color w:val="000000" w:themeColor="text1"/>
                <w:spacing w:val="-2"/>
                <w:kern w:val="0"/>
                <w:sz w:val="18"/>
                <w:szCs w:val="18"/>
                <w14:textFill>
                  <w14:solidFill>
                    <w14:schemeClr w14:val="tx1"/>
                  </w14:solidFill>
                </w14:textFill>
              </w:rPr>
              <w:t>因此排污口废污水不会对水生生物产生较大影响</w:t>
            </w:r>
            <w:r>
              <w:rPr>
                <w:rFonts w:hint="eastAsia"/>
                <w:color w:val="000000" w:themeColor="text1"/>
                <w:spacing w:val="-2"/>
                <w:kern w:val="0"/>
                <w:sz w:val="18"/>
                <w:szCs w:val="18"/>
                <w14:textFill>
                  <w14:solidFill>
                    <w14:schemeClr w14:val="tx1"/>
                  </w14:solidFill>
                </w14:textFill>
              </w:rPr>
              <w:t>。但要杜绝事故排放对水生态带来的较大影响。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129" w:type="dxa"/>
            <w:shd w:val="clear" w:color="auto" w:fill="auto"/>
            <w:vAlign w:val="center"/>
          </w:tcPr>
          <w:p>
            <w:pPr>
              <w:pStyle w:val="58"/>
              <w:rPr>
                <w:color w:val="000000" w:themeColor="text1"/>
                <w:spacing w:val="-2"/>
                <w:kern w:val="0"/>
                <w:sz w:val="20"/>
                <w14:textFill>
                  <w14:solidFill>
                    <w14:schemeClr w14:val="tx1"/>
                  </w14:solidFill>
                </w14:textFill>
              </w:rPr>
            </w:pPr>
            <w:r>
              <w:rPr>
                <w:color w:val="000000" w:themeColor="text1"/>
                <w:spacing w:val="-2"/>
                <w:kern w:val="0"/>
                <w:sz w:val="20"/>
                <w14:textFill>
                  <w14:solidFill>
                    <w14:schemeClr w14:val="tx1"/>
                  </w14:solidFill>
                </w14:textFill>
              </w:rPr>
              <w:t>第三方影响</w:t>
            </w:r>
          </w:p>
        </w:tc>
        <w:tc>
          <w:tcPr>
            <w:tcW w:w="7167" w:type="dxa"/>
            <w:gridSpan w:val="7"/>
            <w:shd w:val="clear" w:color="auto" w:fill="auto"/>
            <w:vAlign w:val="center"/>
          </w:tcPr>
          <w:p>
            <w:pPr>
              <w:pStyle w:val="58"/>
              <w:rPr>
                <w:color w:val="000000" w:themeColor="text1"/>
                <w:kern w:val="0"/>
                <w:sz w:val="18"/>
                <w:szCs w:val="18"/>
                <w14:textFill>
                  <w14:solidFill>
                    <w14:schemeClr w14:val="tx1"/>
                  </w14:solidFill>
                </w14:textFill>
              </w:rPr>
            </w:pPr>
            <w:r>
              <w:rPr>
                <w:color w:val="000000" w:themeColor="text1"/>
                <w:spacing w:val="-2"/>
                <w:kern w:val="0"/>
                <w:sz w:val="18"/>
                <w:szCs w:val="18"/>
                <w14:textFill>
                  <w14:solidFill>
                    <w14:schemeClr w14:val="tx1"/>
                  </w14:solidFill>
                </w14:textFill>
              </w:rPr>
              <w:t>本次论证项目位于</w:t>
            </w:r>
            <w:r>
              <w:rPr>
                <w:rFonts w:hint="eastAsia"/>
                <w:color w:val="000000" w:themeColor="text1"/>
                <w:spacing w:val="-2"/>
                <w:kern w:val="0"/>
                <w:sz w:val="18"/>
                <w:szCs w:val="18"/>
                <w14:textFill>
                  <w14:solidFill>
                    <w14:schemeClr w14:val="tx1"/>
                  </w14:solidFill>
                </w14:textFill>
              </w:rPr>
              <w:t>诸佛江右岸，</w:t>
            </w:r>
            <w:r>
              <w:rPr>
                <w:color w:val="000000" w:themeColor="text1"/>
                <w:spacing w:val="-2"/>
                <w:kern w:val="0"/>
                <w:sz w:val="18"/>
                <w:szCs w:val="18"/>
                <w14:textFill>
                  <w14:solidFill>
                    <w14:schemeClr w14:val="tx1"/>
                  </w14:solidFill>
                </w14:textFill>
              </w:rPr>
              <w:t>排污口所在</w:t>
            </w:r>
            <w:r>
              <w:rPr>
                <w:rFonts w:hint="eastAsia"/>
                <w:color w:val="000000" w:themeColor="text1"/>
                <w:spacing w:val="-2"/>
                <w:kern w:val="0"/>
                <w:sz w:val="18"/>
                <w:szCs w:val="18"/>
                <w14:textFill>
                  <w14:solidFill>
                    <w14:schemeClr w14:val="tx1"/>
                  </w14:solidFill>
                </w14:textFill>
              </w:rPr>
              <w:t>诸佛江的</w:t>
            </w:r>
            <w:r>
              <w:rPr>
                <w:rFonts w:hint="eastAsia"/>
                <w:color w:val="000000" w:themeColor="text1"/>
                <w:kern w:val="0"/>
                <w:sz w:val="18"/>
                <w:szCs w:val="18"/>
                <w14:textFill>
                  <w14:solidFill>
                    <w14:schemeClr w14:val="tx1"/>
                  </w14:solidFill>
                </w14:textFill>
              </w:rPr>
              <w:t>一</w:t>
            </w:r>
            <w:r>
              <w:rPr>
                <w:color w:val="000000" w:themeColor="text1"/>
                <w:kern w:val="0"/>
                <w:sz w:val="18"/>
                <w:szCs w:val="18"/>
                <w14:textFill>
                  <w14:solidFill>
                    <w14:schemeClr w14:val="tx1"/>
                  </w14:solidFill>
                </w14:textFill>
              </w:rPr>
              <w:t>级水功能区为</w:t>
            </w:r>
            <w:r>
              <w:rPr>
                <w:rFonts w:hint="eastAsia"/>
                <w:color w:val="000000" w:themeColor="text1"/>
                <w:kern w:val="0"/>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诸佛江诸佛鹿角开发利用区</w:t>
            </w:r>
            <w:r>
              <w:rPr>
                <w:rFonts w:hint="eastAsia"/>
                <w:color w:val="000000" w:themeColor="text1"/>
                <w:kern w:val="0"/>
                <w:sz w:val="18"/>
                <w:szCs w:val="18"/>
                <w14:textFill>
                  <w14:solidFill>
                    <w14:schemeClr w14:val="tx1"/>
                  </w14:solidFill>
                </w14:textFill>
              </w:rPr>
              <w:t>”，二</w:t>
            </w:r>
            <w:r>
              <w:rPr>
                <w:color w:val="000000" w:themeColor="text1"/>
                <w:kern w:val="0"/>
                <w:sz w:val="18"/>
                <w:szCs w:val="18"/>
                <w14:textFill>
                  <w14:solidFill>
                    <w14:schemeClr w14:val="tx1"/>
                  </w14:solidFill>
                </w14:textFill>
              </w:rPr>
              <w:t>级水功能区为</w:t>
            </w:r>
            <w:r>
              <w:rPr>
                <w:rFonts w:hint="eastAsia"/>
                <w:color w:val="000000" w:themeColor="text1"/>
                <w:kern w:val="0"/>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诸佛江诸佛鹿角景观娱乐用水区</w:t>
            </w:r>
            <w:r>
              <w:rPr>
                <w:rFonts w:hint="eastAsia"/>
                <w:color w:val="000000" w:themeColor="text1"/>
                <w:kern w:val="0"/>
                <w:sz w:val="18"/>
                <w:szCs w:val="18"/>
                <w14:textFill>
                  <w14:solidFill>
                    <w14:schemeClr w14:val="tx1"/>
                  </w14:solidFill>
                </w14:textFill>
              </w:rPr>
              <w:t>”</w:t>
            </w:r>
            <w:r>
              <w:rPr>
                <w:color w:val="000000" w:themeColor="text1"/>
                <w:spacing w:val="-2"/>
                <w:kern w:val="0"/>
                <w:sz w:val="18"/>
                <w:szCs w:val="18"/>
                <w14:textFill>
                  <w14:solidFill>
                    <w14:schemeClr w14:val="tx1"/>
                  </w14:solidFill>
                </w14:textFill>
              </w:rPr>
              <w:t>，在论证范围内</w:t>
            </w:r>
            <w:r>
              <w:rPr>
                <w:rFonts w:hint="eastAsia"/>
                <w:color w:val="000000" w:themeColor="text1"/>
                <w:spacing w:val="-2"/>
                <w:kern w:val="0"/>
                <w:sz w:val="18"/>
                <w:szCs w:val="18"/>
                <w14:textFill>
                  <w14:solidFill>
                    <w14:schemeClr w14:val="tx1"/>
                  </w14:solidFill>
                </w14:textFill>
              </w:rPr>
              <w:t>没有</w:t>
            </w:r>
            <w:r>
              <w:rPr>
                <w:rFonts w:hint="eastAsia"/>
                <w:color w:val="000000" w:themeColor="text1"/>
                <w:kern w:val="0"/>
                <w:sz w:val="18"/>
                <w:szCs w:val="18"/>
                <w14:textFill>
                  <w14:solidFill>
                    <w14:schemeClr w14:val="tx1"/>
                  </w14:solidFill>
                </w14:textFill>
              </w:rPr>
              <w:t>取水口</w:t>
            </w:r>
            <w:r>
              <w:rPr>
                <w:color w:val="000000" w:themeColor="text1"/>
                <w:spacing w:val="-2"/>
                <w:kern w:val="0"/>
                <w:sz w:val="18"/>
                <w:szCs w:val="18"/>
                <w14:textFill>
                  <w14:solidFill>
                    <w14:schemeClr w14:val="tx1"/>
                  </w14:solidFill>
                </w14:textFill>
              </w:rPr>
              <w:t>。本建设工程污水来源主要为生活污水，水质相对稳定，不含难降解有机物、</w:t>
            </w:r>
            <w:r>
              <w:rPr>
                <w:rFonts w:ascii="宋体" w:hAnsi="宋体"/>
                <w:color w:val="000000" w:themeColor="text1"/>
                <w:spacing w:val="-2"/>
                <w:kern w:val="0"/>
                <w:sz w:val="18"/>
                <w:szCs w:val="18"/>
                <w14:textFill>
                  <w14:solidFill>
                    <w14:schemeClr w14:val="tx1"/>
                  </w14:solidFill>
                </w14:textFill>
              </w:rPr>
              <w:t>“</w:t>
            </w:r>
            <w:r>
              <w:rPr>
                <w:color w:val="000000" w:themeColor="text1"/>
                <w:spacing w:val="-2"/>
                <w:kern w:val="0"/>
                <w:sz w:val="18"/>
                <w:szCs w:val="18"/>
                <w14:textFill>
                  <w14:solidFill>
                    <w14:schemeClr w14:val="tx1"/>
                  </w14:solidFill>
                </w14:textFill>
              </w:rPr>
              <w:t>三致</w:t>
            </w:r>
            <w:r>
              <w:rPr>
                <w:rFonts w:ascii="宋体" w:hAnsi="宋体"/>
                <w:color w:val="000000" w:themeColor="text1"/>
                <w:spacing w:val="-2"/>
                <w:kern w:val="0"/>
                <w:sz w:val="18"/>
                <w:szCs w:val="18"/>
                <w14:textFill>
                  <w14:solidFill>
                    <w14:schemeClr w14:val="tx1"/>
                  </w14:solidFill>
                </w14:textFill>
              </w:rPr>
              <w:t>”</w:t>
            </w:r>
            <w:r>
              <w:rPr>
                <w:color w:val="000000" w:themeColor="text1"/>
                <w:spacing w:val="-2"/>
                <w:kern w:val="0"/>
                <w:sz w:val="18"/>
                <w:szCs w:val="18"/>
                <w14:textFill>
                  <w14:solidFill>
                    <w14:schemeClr w14:val="tx1"/>
                  </w14:solidFill>
                </w14:textFill>
              </w:rPr>
              <w:t>污染物、重金属等物质，正常运行达标排放后对</w:t>
            </w:r>
            <w:r>
              <w:rPr>
                <w:rFonts w:hint="eastAsia"/>
                <w:color w:val="000000" w:themeColor="text1"/>
                <w:spacing w:val="-2"/>
                <w:kern w:val="0"/>
                <w:sz w:val="18"/>
                <w:szCs w:val="18"/>
                <w14:textFill>
                  <w14:solidFill>
                    <w14:schemeClr w14:val="tx1"/>
                  </w14:solidFill>
                </w14:textFill>
              </w:rPr>
              <w:t>诸佛江</w:t>
            </w:r>
            <w:r>
              <w:rPr>
                <w:color w:val="000000" w:themeColor="text1"/>
                <w:spacing w:val="-2"/>
                <w:kern w:val="0"/>
                <w:sz w:val="18"/>
                <w:szCs w:val="18"/>
                <w14:textFill>
                  <w14:solidFill>
                    <w14:schemeClr w14:val="tx1"/>
                  </w14:solidFill>
                </w14:textFill>
              </w:rPr>
              <w:t>水质影响小。</w:t>
            </w:r>
          </w:p>
        </w:tc>
      </w:tr>
    </w:tbl>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sectPr>
          <w:headerReference r:id="rId15"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Arial"/>
          <w:snapToGrid w:val="0"/>
          <w:color w:val="000000" w:themeColor="text1"/>
          <w:sz w:val="24"/>
          <w:szCs w:val="24"/>
          <w:lang w:val="zh-CN"/>
          <w14:textFill>
            <w14:solidFill>
              <w14:schemeClr w14:val="tx1"/>
            </w14:solidFill>
          </w14:textFill>
        </w:rPr>
        <w:id w:val="316384064"/>
        <w:docPartObj>
          <w:docPartGallery w:val="Table of Contents"/>
          <w:docPartUnique/>
        </w:docPartObj>
      </w:sdtPr>
      <w:sdtEndPr>
        <w:rPr>
          <w:rFonts w:ascii="Times New Roman" w:hAnsi="Times New Roman" w:eastAsia="宋体" w:cs="Arial"/>
          <w:b/>
          <w:bCs/>
          <w:snapToGrid w:val="0"/>
          <w:color w:val="000000" w:themeColor="text1"/>
          <w:sz w:val="24"/>
          <w:szCs w:val="24"/>
          <w:lang w:val="zh-CN"/>
          <w14:textFill>
            <w14:solidFill>
              <w14:schemeClr w14:val="tx1"/>
            </w14:solidFill>
          </w14:textFill>
        </w:rPr>
      </w:sdtEndPr>
      <w:sdtContent>
        <w:p>
          <w:pPr>
            <w:pStyle w:val="94"/>
            <w:jc w:val="center"/>
            <w:rPr>
              <w:rFonts w:ascii="黑体" w:hAnsi="黑体" w:eastAsia="黑体"/>
              <w:b/>
              <w:bCs/>
              <w:color w:val="000000" w:themeColor="text1"/>
              <w14:textFill>
                <w14:solidFill>
                  <w14:schemeClr w14:val="tx1"/>
                </w14:solidFill>
              </w14:textFill>
            </w:rPr>
          </w:pPr>
          <w:r>
            <w:rPr>
              <w:rFonts w:ascii="黑体" w:hAnsi="黑体" w:eastAsia="黑体"/>
              <w:b/>
              <w:bCs/>
              <w:color w:val="000000" w:themeColor="text1"/>
              <w:lang w:val="zh-CN"/>
              <w14:textFill>
                <w14:solidFill>
                  <w14:schemeClr w14:val="tx1"/>
                </w14:solidFill>
              </w14:textFill>
            </w:rPr>
            <w:t>目</w:t>
          </w:r>
          <w:r>
            <w:rPr>
              <w:rFonts w:hint="eastAsia" w:ascii="黑体" w:hAnsi="黑体" w:eastAsia="黑体"/>
              <w:b/>
              <w:bCs/>
              <w:color w:val="000000" w:themeColor="text1"/>
              <w:lang w:val="zh-CN"/>
              <w14:textFill>
                <w14:solidFill>
                  <w14:schemeClr w14:val="tx1"/>
                </w14:solidFill>
              </w14:textFill>
            </w:rPr>
            <w:t xml:space="preserve"> </w:t>
          </w:r>
          <w:r>
            <w:rPr>
              <w:rFonts w:ascii="黑体" w:hAnsi="黑体" w:eastAsia="黑体"/>
              <w:b/>
              <w:bCs/>
              <w:color w:val="000000" w:themeColor="text1"/>
              <w:lang w:val="zh-CN"/>
              <w14:textFill>
                <w14:solidFill>
                  <w14:schemeClr w14:val="tx1"/>
                </w14:solidFill>
              </w14:textFill>
            </w:rPr>
            <w:t xml:space="preserve"> 录</w:t>
          </w:r>
        </w:p>
        <w:p>
          <w:pPr>
            <w:pStyle w:val="20"/>
            <w:rPr>
              <w:rFonts w:asciiTheme="minorHAnsi" w:hAnsiTheme="minorHAnsi" w:eastAsiaTheme="minorEastAsia" w:cstheme="minorBidi"/>
              <w:snapToGrid/>
              <w:color w:val="auto"/>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fldChar w:fldCharType="begin"/>
          </w:r>
          <w:r>
            <w:instrText xml:space="preserve"> HYPERLINK \l "_Toc184805821" </w:instrText>
          </w:r>
          <w:r>
            <w:fldChar w:fldCharType="separate"/>
          </w:r>
          <w:r>
            <w:rPr>
              <w:rStyle w:val="34"/>
            </w:rPr>
            <w:t>前 言</w:t>
          </w:r>
          <w:r>
            <w:tab/>
          </w:r>
          <w:r>
            <w:fldChar w:fldCharType="begin"/>
          </w:r>
          <w:r>
            <w:instrText xml:space="preserve"> PAGEREF _Toc184805821 \h </w:instrText>
          </w:r>
          <w:r>
            <w:fldChar w:fldCharType="separate"/>
          </w:r>
          <w:r>
            <w:t>5</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"_Toc184805822" </w:instrText>
          </w:r>
          <w:r>
            <w:fldChar w:fldCharType="separate"/>
          </w:r>
          <w:r>
            <w:rPr>
              <w:rStyle w:val="34"/>
            </w:rPr>
            <w:t>一、 总则</w:t>
          </w:r>
          <w:r>
            <w:tab/>
          </w:r>
          <w:r>
            <w:fldChar w:fldCharType="begin"/>
          </w:r>
          <w:r>
            <w:instrText xml:space="preserve"> PAGEREF _Toc184805822 \h </w:instrText>
          </w:r>
          <w:r>
            <w:fldChar w:fldCharType="separate"/>
          </w:r>
          <w:r>
            <w:t>6</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"_Toc184805823" </w:instrText>
          </w:r>
          <w:r>
            <w:fldChar w:fldCharType="separate"/>
          </w:r>
          <w:r>
            <w:rPr>
              <w:rStyle w:val="34"/>
              <w14:scene3d>
                <w14:lightRig w14:rig="threePt" w14:dir="t">
                  <w14:rot w14:lat="0" w14:lon="0" w14:rev="0"/>
                </w14:lightRig>
              </w14:scene3d>
            </w:rPr>
            <w:t>1.1</w:t>
          </w:r>
          <w:r>
            <w:rPr>
              <w:rStyle w:val="34"/>
            </w:rPr>
            <w:t xml:space="preserve"> 论证目的</w:t>
          </w:r>
          <w:r>
            <w:tab/>
          </w:r>
          <w:r>
            <w:fldChar w:fldCharType="begin"/>
          </w:r>
          <w:r>
            <w:instrText xml:space="preserve"> PAGEREF _Toc184805823 \h </w:instrText>
          </w:r>
          <w:r>
            <w:fldChar w:fldCharType="separate"/>
          </w:r>
          <w:r>
            <w:t>6</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"_Toc184805824" </w:instrText>
          </w:r>
          <w:r>
            <w:fldChar w:fldCharType="separate"/>
          </w:r>
          <w:r>
            <w:rPr>
              <w:rStyle w:val="34"/>
              <w14:scene3d>
                <w14:lightRig w14:rig="threePt" w14:dir="t">
                  <w14:rot w14:lat="0" w14:lon="0" w14:rev="0"/>
                </w14:lightRig>
              </w14:scene3d>
            </w:rPr>
            <w:t>1.2</w:t>
          </w:r>
          <w:r>
            <w:rPr>
              <w:rStyle w:val="34"/>
            </w:rPr>
            <w:t xml:space="preserve"> 论证原则</w:t>
          </w:r>
          <w:r>
            <w:tab/>
          </w:r>
          <w:r>
            <w:fldChar w:fldCharType="begin"/>
          </w:r>
          <w:r>
            <w:instrText xml:space="preserve"> PAGEREF _Toc184805824 \h </w:instrText>
          </w:r>
          <w:r>
            <w:fldChar w:fldCharType="separate"/>
          </w:r>
          <w:r>
            <w:t>6</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"_Toc184805825" </w:instrText>
          </w:r>
          <w:r>
            <w:fldChar w:fldCharType="separate"/>
          </w:r>
          <w:r>
            <w:rPr>
              <w:rStyle w:val="34"/>
              <w14:scene3d>
                <w14:lightRig w14:rig="threePt" w14:dir="t">
                  <w14:rot w14:lat="0" w14:lon="0" w14:rev="0"/>
                </w14:lightRig>
              </w14:scene3d>
            </w:rPr>
            <w:t>1.3</w:t>
          </w:r>
          <w:r>
            <w:rPr>
              <w:rStyle w:val="34"/>
            </w:rPr>
            <w:t xml:space="preserve"> 论证依据</w:t>
          </w:r>
          <w:r>
            <w:tab/>
          </w:r>
          <w:r>
            <w:fldChar w:fldCharType="begin"/>
          </w:r>
          <w:r>
            <w:instrText xml:space="preserve"> PAGEREF _Toc184805825 \h </w:instrText>
          </w:r>
          <w:r>
            <w:fldChar w:fldCharType="separate"/>
          </w:r>
          <w:r>
            <w:t>7</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"_Toc184805826" </w:instrText>
          </w:r>
          <w:r>
            <w:fldChar w:fldCharType="separate"/>
          </w:r>
          <w:r>
            <w:rPr>
              <w:rStyle w:val="34"/>
              <w14:scene3d>
                <w14:lightRig w14:rig="threePt" w14:dir="t">
                  <w14:rot w14:lat="0" w14:lon="0" w14:rev="0"/>
                </w14:lightRig>
              </w14:scene3d>
            </w:rPr>
            <w:t>1.4</w:t>
          </w:r>
          <w:r>
            <w:rPr>
              <w:rStyle w:val="34"/>
            </w:rPr>
            <w:t xml:space="preserve"> 论证范围</w:t>
          </w:r>
          <w:r>
            <w:tab/>
          </w:r>
          <w:r>
            <w:fldChar w:fldCharType="begin"/>
          </w:r>
          <w:r>
            <w:instrText xml:space="preserve"> PAGEREF _Toc184805826 \h </w:instrText>
          </w:r>
          <w:r>
            <w:fldChar w:fldCharType="separate"/>
          </w:r>
          <w:r>
            <w:t>8</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"_Toc184805827" </w:instrText>
          </w:r>
          <w:r>
            <w:fldChar w:fldCharType="separate"/>
          </w:r>
          <w:r>
            <w:rPr>
              <w:rStyle w:val="34"/>
              <w14:scene3d>
                <w14:lightRig w14:rig="threePt" w14:dir="t">
                  <w14:rot w14:lat="0" w14:lon="0" w14:rev="0"/>
                </w14:lightRig>
              </w14:scene3d>
            </w:rPr>
            <w:t>1.5</w:t>
          </w:r>
          <w:r>
            <w:rPr>
              <w:rStyle w:val="34"/>
            </w:rPr>
            <w:t xml:space="preserve"> 规划水平年与论证规模</w:t>
          </w:r>
          <w:r>
            <w:tab/>
          </w:r>
          <w:r>
            <w:fldChar w:fldCharType="begin"/>
          </w:r>
          <w:r>
            <w:instrText xml:space="preserve"> PAGEREF _Toc184805827 \h </w:instrText>
          </w:r>
          <w:r>
            <w:fldChar w:fldCharType="separate"/>
          </w:r>
          <w:r>
            <w:t>9</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"_Toc184805828" </w:instrText>
          </w:r>
          <w:r>
            <w:fldChar w:fldCharType="separate"/>
          </w:r>
          <w:r>
            <w:rPr>
              <w:rStyle w:val="34"/>
              <w14:scene3d>
                <w14:lightRig w14:rig="threePt" w14:dir="t">
                  <w14:rot w14:lat="0" w14:lon="0" w14:rev="0"/>
                </w14:lightRig>
              </w14:scene3d>
            </w:rPr>
            <w:t>1.6</w:t>
          </w:r>
          <w:r>
            <w:rPr>
              <w:rStyle w:val="34"/>
            </w:rPr>
            <w:t xml:space="preserve"> 论证工作程序</w:t>
          </w:r>
          <w:r>
            <w:tab/>
          </w:r>
          <w:r>
            <w:fldChar w:fldCharType="begin"/>
          </w:r>
          <w:r>
            <w:instrText xml:space="preserve"> PAGEREF _Toc184805828 \h </w:instrText>
          </w:r>
          <w:r>
            <w:fldChar w:fldCharType="separate"/>
          </w:r>
          <w:r>
            <w:t>9</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"_Toc184805829" </w:instrText>
          </w:r>
          <w:r>
            <w:fldChar w:fldCharType="separate"/>
          </w:r>
          <w:r>
            <w:rPr>
              <w:rStyle w:val="34"/>
              <w14:scene3d>
                <w14:lightRig w14:rig="threePt" w14:dir="t">
                  <w14:rot w14:lat="0" w14:lon="0" w14:rev="0"/>
                </w14:lightRig>
              </w14:scene3d>
            </w:rPr>
            <w:t>1.7</w:t>
          </w:r>
          <w:r>
            <w:rPr>
              <w:rStyle w:val="34"/>
            </w:rPr>
            <w:t xml:space="preserve"> 论证的主要内容</w:t>
          </w:r>
          <w:r>
            <w:tab/>
          </w:r>
          <w:r>
            <w:fldChar w:fldCharType="begin"/>
          </w:r>
          <w:r>
            <w:instrText xml:space="preserve"> PAGEREF _Toc184805829 \h </w:instrText>
          </w:r>
          <w:r>
            <w:fldChar w:fldCharType="separate"/>
          </w:r>
          <w:r>
            <w:t>10</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"_Toc184805830" </w:instrText>
          </w:r>
          <w:r>
            <w:fldChar w:fldCharType="separate"/>
          </w:r>
          <w:r>
            <w:rPr>
              <w:rStyle w:val="34"/>
            </w:rPr>
            <w:t>二、 项目概况</w:t>
          </w:r>
          <w:r>
            <w:tab/>
          </w:r>
          <w:r>
            <w:fldChar w:fldCharType="begin"/>
          </w:r>
          <w:r>
            <w:instrText xml:space="preserve"> PAGEREF _Toc184805830 \h </w:instrText>
          </w:r>
          <w:r>
            <w:fldChar w:fldCharType="separate"/>
          </w:r>
          <w:r>
            <w:t>11</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"_Toc184805831" </w:instrText>
          </w:r>
          <w:r>
            <w:fldChar w:fldCharType="separate"/>
          </w:r>
          <w:r>
            <w:rPr>
              <w:rStyle w:val="34"/>
              <w14:scene3d>
                <w14:lightRig w14:rig="threePt" w14:dir="t">
                  <w14:rot w14:lat="0" w14:lon="0" w14:rev="0"/>
                </w14:lightRig>
              </w14:scene3d>
            </w:rPr>
            <w:t>2.1</w:t>
          </w:r>
          <w:r>
            <w:rPr>
              <w:rStyle w:val="34"/>
            </w:rPr>
            <w:t xml:space="preserve"> 项目背景</w:t>
          </w:r>
          <w:r>
            <w:tab/>
          </w:r>
          <w:r>
            <w:fldChar w:fldCharType="begin"/>
          </w:r>
          <w:r>
            <w:instrText xml:space="preserve"> PAGEREF _Toc184805831 \h </w:instrText>
          </w:r>
          <w:r>
            <w:fldChar w:fldCharType="separate"/>
          </w:r>
          <w:r>
            <w:t>11</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"_Toc184805832" </w:instrText>
          </w:r>
          <w:r>
            <w:fldChar w:fldCharType="separate"/>
          </w:r>
          <w:r>
            <w:rPr>
              <w:rStyle w:val="34"/>
              <w14:scene3d>
                <w14:lightRig w14:rig="threePt" w14:dir="t">
                  <w14:rot w14:lat="0" w14:lon="0" w14:rev="0"/>
                </w14:lightRig>
              </w14:scene3d>
            </w:rPr>
            <w:t>2.2</w:t>
          </w:r>
          <w:r>
            <w:rPr>
              <w:rStyle w:val="34"/>
            </w:rPr>
            <w:t xml:space="preserve"> 项目概况</w:t>
          </w:r>
          <w:r>
            <w:tab/>
          </w:r>
          <w:r>
            <w:fldChar w:fldCharType="begin"/>
          </w:r>
          <w:r>
            <w:instrText xml:space="preserve"> PAGEREF _Toc184805832 \h </w:instrText>
          </w:r>
          <w:r>
            <w:fldChar w:fldCharType="separate"/>
          </w:r>
          <w:r>
            <w:t>11</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"_Toc184805906" </w:instrText>
          </w:r>
          <w:r>
            <w:fldChar w:fldCharType="separate"/>
          </w:r>
          <w:r>
            <w:rPr>
              <w:rStyle w:val="34"/>
              <w14:scene3d>
                <w14:lightRig w14:rig="threePt" w14:dir="t">
                  <w14:rot w14:lat="0" w14:lon="0" w14:rev="0"/>
                </w14:lightRig>
              </w14:scene3d>
            </w:rPr>
            <w:t>2.3</w:t>
          </w:r>
          <w:r>
            <w:rPr>
              <w:rStyle w:val="34"/>
            </w:rPr>
            <w:t xml:space="preserve"> 项目所在区域概况</w:t>
          </w:r>
          <w:r>
            <w:tab/>
          </w:r>
          <w:r>
            <w:fldChar w:fldCharType="begin"/>
          </w:r>
          <w:r>
            <w:instrText xml:space="preserve"> PAGEREF _Toc184805906 \h </w:instrText>
          </w:r>
          <w:r>
            <w:fldChar w:fldCharType="separate"/>
          </w:r>
          <w:r>
            <w:t>14</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"_Toc184805907" </w:instrText>
          </w:r>
          <w:r>
            <w:fldChar w:fldCharType="separate"/>
          </w:r>
          <w:r>
            <w:rPr>
              <w:rStyle w:val="34"/>
            </w:rPr>
            <w:t>三、 水功能区（水域）管理要求和现有取水状况</w:t>
          </w:r>
          <w:r>
            <w:tab/>
          </w:r>
          <w:r>
            <w:fldChar w:fldCharType="begin"/>
          </w:r>
          <w:r>
            <w:instrText xml:space="preserve"> PAGEREF _Toc184805907 \h </w:instrText>
          </w:r>
          <w:r>
            <w:fldChar w:fldCharType="separate"/>
          </w:r>
          <w:r>
            <w:t>18</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"_Toc184805908" </w:instrText>
          </w:r>
          <w:r>
            <w:fldChar w:fldCharType="separate"/>
          </w:r>
          <w:r>
            <w:rPr>
              <w:rStyle w:val="34"/>
              <w14:scene3d>
                <w14:lightRig w14:rig="threePt" w14:dir="t">
                  <w14:rot w14:lat="0" w14:lon="0" w14:rev="0"/>
                </w14:lightRig>
              </w14:scene3d>
            </w:rPr>
            <w:t>3.1</w:t>
          </w:r>
          <w:r>
            <w:rPr>
              <w:rStyle w:val="34"/>
            </w:rPr>
            <w:t xml:space="preserve"> 水功能区（水域）管理目标与要求</w:t>
          </w:r>
          <w:r>
            <w:tab/>
          </w:r>
          <w:r>
            <w:fldChar w:fldCharType="begin"/>
          </w:r>
          <w:r>
            <w:instrText xml:space="preserve"> PAGEREF _Toc184805908 \h </w:instrText>
          </w:r>
          <w:r>
            <w:fldChar w:fldCharType="separate"/>
          </w:r>
          <w:r>
            <w:t>18</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"_Toc184805909" </w:instrText>
          </w:r>
          <w:r>
            <w:fldChar w:fldCharType="separate"/>
          </w:r>
          <w:r>
            <w:rPr>
              <w:rStyle w:val="34"/>
              <w14:scene3d>
                <w14:lightRig w14:rig="threePt" w14:dir="t">
                  <w14:rot w14:lat="0" w14:lon="0" w14:rev="0"/>
                </w14:lightRig>
              </w14:scene3d>
            </w:rPr>
            <w:t>3.2</w:t>
          </w:r>
          <w:r>
            <w:rPr>
              <w:rStyle w:val="34"/>
            </w:rPr>
            <w:t xml:space="preserve"> 水功能区纳污能力及限制排放总量</w:t>
          </w:r>
          <w:r>
            <w:tab/>
          </w:r>
          <w:r>
            <w:fldChar w:fldCharType="begin"/>
          </w:r>
          <w:r>
            <w:instrText xml:space="preserve"> PAGEREF _Toc184805909 \h </w:instrText>
          </w:r>
          <w:r>
            <w:fldChar w:fldCharType="separate"/>
          </w:r>
          <w:r>
            <w:t>18</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"_Toc184805910" </w:instrText>
          </w:r>
          <w:r>
            <w:fldChar w:fldCharType="separate"/>
          </w:r>
          <w:r>
            <w:rPr>
              <w:rStyle w:val="34"/>
              <w14:scene3d>
                <w14:lightRig w14:rig="threePt" w14:dir="t">
                  <w14:rot w14:lat="0" w14:lon="0" w14:rev="0"/>
                </w14:lightRig>
              </w14:scene3d>
            </w:rPr>
            <w:t>3.3</w:t>
          </w:r>
          <w:r>
            <w:rPr>
              <w:rStyle w:val="34"/>
            </w:rPr>
            <w:t xml:space="preserve"> 论证水功能区（水域）现有取排水状况</w:t>
          </w:r>
          <w:r>
            <w:tab/>
          </w:r>
          <w:r>
            <w:fldChar w:fldCharType="begin"/>
          </w:r>
          <w:r>
            <w:instrText xml:space="preserve"> PAGEREF _Toc184805910 \h </w:instrText>
          </w:r>
          <w:r>
            <w:fldChar w:fldCharType="separate"/>
          </w:r>
          <w:r>
            <w:t>22</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"_Toc184805911" </w:instrText>
          </w:r>
          <w:r>
            <w:fldChar w:fldCharType="separate"/>
          </w:r>
          <w:r>
            <w:rPr>
              <w:rStyle w:val="34"/>
            </w:rPr>
            <w:t>四、 入河排污口所在水功能区（水域）水质现状和纳污状况</w:t>
          </w:r>
          <w:r>
            <w:tab/>
          </w:r>
          <w:r>
            <w:fldChar w:fldCharType="begin"/>
          </w:r>
          <w:r>
            <w:instrText xml:space="preserve"> PAGEREF _Toc184805911 \h </w:instrText>
          </w:r>
          <w:r>
            <w:fldChar w:fldCharType="separate"/>
          </w:r>
          <w:r>
            <w:t>24</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"_Toc184805912" </w:instrText>
          </w:r>
          <w:r>
            <w:fldChar w:fldCharType="separate"/>
          </w:r>
          <w:r>
            <w:rPr>
              <w:rStyle w:val="34"/>
              <w14:scene3d>
                <w14:lightRig w14:rig="threePt" w14:dir="t">
                  <w14:rot w14:lat="0" w14:lon="0" w14:rev="0"/>
                </w14:lightRig>
              </w14:scene3d>
            </w:rPr>
            <w:t>4.1</w:t>
          </w:r>
          <w:r>
            <w:rPr>
              <w:rStyle w:val="34"/>
            </w:rPr>
            <w:t xml:space="preserve"> 水功能区（水域）管理要求</w:t>
          </w:r>
          <w:r>
            <w:tab/>
          </w:r>
          <w:r>
            <w:fldChar w:fldCharType="begin"/>
          </w:r>
          <w:r>
            <w:instrText xml:space="preserve"> PAGEREF _Toc184805912 \h </w:instrText>
          </w:r>
          <w:r>
            <w:fldChar w:fldCharType="separate"/>
          </w:r>
          <w:r>
            <w:t>24</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"_Toc184805913" </w:instrText>
          </w:r>
          <w:r>
            <w:fldChar w:fldCharType="separate"/>
          </w:r>
          <w:r>
            <w:rPr>
              <w:rStyle w:val="34"/>
              <w14:scene3d>
                <w14:lightRig w14:rig="threePt" w14:dir="t">
                  <w14:rot w14:lat="0" w14:lon="0" w14:rev="0"/>
                </w14:lightRig>
              </w14:scene3d>
            </w:rPr>
            <w:t>4.2</w:t>
          </w:r>
          <w:r>
            <w:rPr>
              <w:rStyle w:val="34"/>
            </w:rPr>
            <w:t xml:space="preserve"> 水功能区（水域）水质现状</w:t>
          </w:r>
          <w:r>
            <w:tab/>
          </w:r>
          <w:r>
            <w:fldChar w:fldCharType="begin"/>
          </w:r>
          <w:r>
            <w:instrText xml:space="preserve"> PAGEREF _Toc184805913 \h </w:instrText>
          </w:r>
          <w:r>
            <w:fldChar w:fldCharType="separate"/>
          </w:r>
          <w:r>
            <w:t>24</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"_Toc184805914" </w:instrText>
          </w:r>
          <w:r>
            <w:fldChar w:fldCharType="separate"/>
          </w:r>
          <w:r>
            <w:rPr>
              <w:rStyle w:val="34"/>
              <w14:scene3d>
                <w14:lightRig w14:rig="threePt" w14:dir="t">
                  <w14:rot w14:lat="0" w14:lon="0" w14:rev="0"/>
                </w14:lightRig>
              </w14:scene3d>
            </w:rPr>
            <w:t>4.3</w:t>
          </w:r>
          <w:r>
            <w:rPr>
              <w:rStyle w:val="34"/>
            </w:rPr>
            <w:t xml:space="preserve"> 所在水功能区（水域）纳污状况</w:t>
          </w:r>
          <w:r>
            <w:tab/>
          </w:r>
          <w:r>
            <w:fldChar w:fldCharType="begin"/>
          </w:r>
          <w:r>
            <w:instrText xml:space="preserve"> PAGEREF _Toc184805914 \h </w:instrText>
          </w:r>
          <w:r>
            <w:fldChar w:fldCharType="separate"/>
          </w:r>
          <w:r>
            <w:t>24</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"_Toc184805915" </w:instrText>
          </w:r>
          <w:r>
            <w:fldChar w:fldCharType="separate"/>
          </w:r>
          <w:r>
            <w:rPr>
              <w:rStyle w:val="34"/>
            </w:rPr>
            <w:t>五、 入河排污口设置可行性分析论证及入河排污口设置情况</w:t>
          </w:r>
          <w:r>
            <w:tab/>
          </w:r>
          <w:r>
            <w:fldChar w:fldCharType="begin"/>
          </w:r>
          <w:r>
            <w:instrText xml:space="preserve"> PAGEREF _Toc184805915 \h </w:instrText>
          </w:r>
          <w:r>
            <w:fldChar w:fldCharType="separate"/>
          </w:r>
          <w:r>
            <w:t>26</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"_Toc184805916" </w:instrText>
          </w:r>
          <w:r>
            <w:fldChar w:fldCharType="separate"/>
          </w:r>
          <w:r>
            <w:rPr>
              <w:rStyle w:val="34"/>
              <w14:scene3d>
                <w14:lightRig w14:rig="threePt" w14:dir="t">
                  <w14:rot w14:lat="0" w14:lon="0" w14:rev="0"/>
                </w14:lightRig>
              </w14:scene3d>
            </w:rPr>
            <w:t>5.1</w:t>
          </w:r>
          <w:r>
            <w:rPr>
              <w:rStyle w:val="34"/>
            </w:rPr>
            <w:t xml:space="preserve"> 污水来源及构成</w:t>
          </w:r>
          <w:r>
            <w:tab/>
          </w:r>
          <w:r>
            <w:fldChar w:fldCharType="begin"/>
          </w:r>
          <w:r>
            <w:instrText xml:space="preserve"> PAGEREF _Toc184805916 \h </w:instrText>
          </w:r>
          <w:r>
            <w:fldChar w:fldCharType="separate"/>
          </w:r>
          <w:r>
            <w:t>26</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"_Toc184805917" </w:instrText>
          </w:r>
          <w:r>
            <w:fldChar w:fldCharType="separate"/>
          </w:r>
          <w:r>
            <w:rPr>
              <w:rStyle w:val="34"/>
              <w14:scene3d>
                <w14:lightRig w14:rig="threePt" w14:dir="t">
                  <w14:rot w14:lat="0" w14:lon="0" w14:rev="0"/>
                </w14:lightRig>
              </w14:scene3d>
            </w:rPr>
            <w:t>5.2</w:t>
          </w:r>
          <w:r>
            <w:rPr>
              <w:rStyle w:val="34"/>
            </w:rPr>
            <w:t xml:space="preserve"> 污水所含主要污染物种类及</w:t>
          </w:r>
          <w:r>
            <w:rPr>
              <w:rStyle w:val="34"/>
              <w:rFonts w:hint="eastAsia"/>
            </w:rPr>
            <w:t>其</w:t>
          </w:r>
          <w:r>
            <w:rPr>
              <w:rStyle w:val="34"/>
            </w:rPr>
            <w:t>排放浓度、总量</w:t>
          </w:r>
          <w:r>
            <w:tab/>
          </w:r>
          <w:r>
            <w:fldChar w:fldCharType="begin"/>
          </w:r>
          <w:r>
            <w:instrText xml:space="preserve"> PAGEREF _Toc184805917 \h </w:instrText>
          </w:r>
          <w:r>
            <w:fldChar w:fldCharType="separate"/>
          </w:r>
          <w:r>
            <w:t>26</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"_Toc184805918" </w:instrText>
          </w:r>
          <w:r>
            <w:fldChar w:fldCharType="separate"/>
          </w:r>
          <w:r>
            <w:rPr>
              <w:rStyle w:val="34"/>
              <w14:scene3d>
                <w14:lightRig w14:rig="threePt" w14:dir="t">
                  <w14:rot w14:lat="0" w14:lon="0" w14:rev="0"/>
                </w14:lightRig>
              </w14:scene3d>
            </w:rPr>
            <w:t>5.3</w:t>
          </w:r>
          <w:r>
            <w:rPr>
              <w:rStyle w:val="34"/>
            </w:rPr>
            <w:t xml:space="preserve"> 入河排污口设置可行性分析论证</w:t>
          </w:r>
          <w:r>
            <w:tab/>
          </w:r>
          <w:r>
            <w:fldChar w:fldCharType="begin"/>
          </w:r>
          <w:r>
            <w:instrText xml:space="preserve"> PAGEREF _Toc184805918 \h </w:instrText>
          </w:r>
          <w:r>
            <w:fldChar w:fldCharType="separate"/>
          </w:r>
          <w:r>
            <w:t>26</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"_Toc184805919" </w:instrText>
          </w:r>
          <w:r>
            <w:fldChar w:fldCharType="separate"/>
          </w:r>
          <w:r>
            <w:rPr>
              <w:rStyle w:val="34"/>
              <w14:scene3d>
                <w14:lightRig w14:rig="threePt" w14:dir="t">
                  <w14:rot w14:lat="0" w14:lon="0" w14:rev="0"/>
                </w14:lightRig>
              </w14:scene3d>
            </w:rPr>
            <w:t>5.4</w:t>
          </w:r>
          <w:r>
            <w:rPr>
              <w:rStyle w:val="34"/>
            </w:rPr>
            <w:t xml:space="preserve"> 入河排污口设置方案</w:t>
          </w:r>
          <w:r>
            <w:tab/>
          </w:r>
          <w:r>
            <w:fldChar w:fldCharType="begin"/>
          </w:r>
          <w:r>
            <w:instrText xml:space="preserve"> PAGEREF _Toc184805919 \h </w:instrText>
          </w:r>
          <w:r>
            <w:fldChar w:fldCharType="separate"/>
          </w:r>
          <w:r>
            <w:t>33</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"_Toc184805920" </w:instrText>
          </w:r>
          <w:r>
            <w:fldChar w:fldCharType="separate"/>
          </w:r>
          <w:r>
            <w:rPr>
              <w:rStyle w:val="34"/>
            </w:rPr>
            <w:t>六、 入河排污口设置对水功能区（水域）水质和水生态影响分析</w:t>
          </w:r>
          <w:r>
            <w:tab/>
          </w:r>
          <w:r>
            <w:fldChar w:fldCharType="begin"/>
          </w:r>
          <w:r>
            <w:instrText xml:space="preserve"> PAGEREF _Toc184805920 \h </w:instrText>
          </w:r>
          <w:r>
            <w:fldChar w:fldCharType="separate"/>
          </w:r>
          <w:r>
            <w:t>35</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"_Toc184805921" </w:instrText>
          </w:r>
          <w:r>
            <w:fldChar w:fldCharType="separate"/>
          </w:r>
          <w:r>
            <w:rPr>
              <w:rStyle w:val="34"/>
              <w14:scene3d>
                <w14:lightRig w14:rig="threePt" w14:dir="t">
                  <w14:rot w14:lat="0" w14:lon="0" w14:rev="0"/>
                </w14:lightRig>
              </w14:scene3d>
            </w:rPr>
            <w:t>6.1</w:t>
          </w:r>
          <w:r>
            <w:rPr>
              <w:rStyle w:val="34"/>
            </w:rPr>
            <w:t xml:space="preserve"> 影响范围</w:t>
          </w:r>
          <w:r>
            <w:tab/>
          </w:r>
          <w:r>
            <w:fldChar w:fldCharType="begin"/>
          </w:r>
          <w:r>
            <w:instrText xml:space="preserve"> PAGEREF _Toc184805921 \h </w:instrText>
          </w:r>
          <w:r>
            <w:fldChar w:fldCharType="separate"/>
          </w:r>
          <w:r>
            <w:t>35</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"_Toc184805922" </w:instrText>
          </w:r>
          <w:r>
            <w:fldChar w:fldCharType="separate"/>
          </w:r>
          <w:r>
            <w:rPr>
              <w:rStyle w:val="34"/>
              <w14:scene3d>
                <w14:lightRig w14:rig="threePt" w14:dir="t">
                  <w14:rot w14:lat="0" w14:lon="0" w14:rev="0"/>
                </w14:lightRig>
              </w14:scene3d>
            </w:rPr>
            <w:t>6.2</w:t>
          </w:r>
          <w:r>
            <w:rPr>
              <w:rStyle w:val="34"/>
            </w:rPr>
            <w:t xml:space="preserve"> 对水域纳污能力及水质影响分析</w:t>
          </w:r>
          <w:r>
            <w:tab/>
          </w:r>
          <w:r>
            <w:fldChar w:fldCharType="begin"/>
          </w:r>
          <w:r>
            <w:instrText xml:space="preserve"> PAGEREF _Toc184805922 \h </w:instrText>
          </w:r>
          <w:r>
            <w:fldChar w:fldCharType="separate"/>
          </w:r>
          <w:r>
            <w:t>40</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"_Toc184805923" </w:instrText>
          </w:r>
          <w:r>
            <w:fldChar w:fldCharType="separate"/>
          </w:r>
          <w:r>
            <w:rPr>
              <w:rStyle w:val="34"/>
              <w14:scene3d>
                <w14:lightRig w14:rig="threePt" w14:dir="t">
                  <w14:rot w14:lat="0" w14:lon="0" w14:rev="0"/>
                </w14:lightRig>
              </w14:scene3d>
            </w:rPr>
            <w:t>6.3</w:t>
          </w:r>
          <w:r>
            <w:rPr>
              <w:rStyle w:val="34"/>
            </w:rPr>
            <w:t xml:space="preserve"> 对水生态环境影响</w:t>
          </w:r>
          <w:r>
            <w:tab/>
          </w:r>
          <w:r>
            <w:fldChar w:fldCharType="begin"/>
          </w:r>
          <w:r>
            <w:instrText xml:space="preserve"> PAGEREF _Toc184805923 \h </w:instrText>
          </w:r>
          <w:r>
            <w:fldChar w:fldCharType="separate"/>
          </w:r>
          <w:r>
            <w:t>42</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"_Toc184805924" </w:instrText>
          </w:r>
          <w:r>
            <w:fldChar w:fldCharType="separate"/>
          </w:r>
          <w:r>
            <w:rPr>
              <w:rStyle w:val="34"/>
              <w14:scene3d>
                <w14:lightRig w14:rig="threePt" w14:dir="t">
                  <w14:rot w14:lat="0" w14:lon="0" w14:rev="0"/>
                </w14:lightRig>
              </w14:scene3d>
            </w:rPr>
            <w:t>6.4</w:t>
          </w:r>
          <w:r>
            <w:rPr>
              <w:rStyle w:val="34"/>
            </w:rPr>
            <w:t xml:space="preserve"> 对地下水的影响分析</w:t>
          </w:r>
          <w:r>
            <w:tab/>
          </w:r>
          <w:r>
            <w:fldChar w:fldCharType="begin"/>
          </w:r>
          <w:r>
            <w:instrText xml:space="preserve"> PAGEREF _Toc184805924 \h </w:instrText>
          </w:r>
          <w:r>
            <w:fldChar w:fldCharType="separate"/>
          </w:r>
          <w:r>
            <w:t>43</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"_Toc184805925" </w:instrText>
          </w:r>
          <w:r>
            <w:fldChar w:fldCharType="separate"/>
          </w:r>
          <w:r>
            <w:rPr>
              <w:rStyle w:val="34"/>
              <w14:scene3d>
                <w14:lightRig w14:rig="threePt" w14:dir="t">
                  <w14:rot w14:lat="0" w14:lon="0" w14:rev="0"/>
                </w14:lightRig>
              </w14:scene3d>
            </w:rPr>
            <w:t>6.5</w:t>
          </w:r>
          <w:r>
            <w:rPr>
              <w:rStyle w:val="34"/>
            </w:rPr>
            <w:t xml:space="preserve"> 对第三者影响分析</w:t>
          </w:r>
          <w:r>
            <w:tab/>
          </w:r>
          <w:r>
            <w:fldChar w:fldCharType="begin"/>
          </w:r>
          <w:r>
            <w:instrText xml:space="preserve"> PAGEREF _Toc184805925 \h </w:instrText>
          </w:r>
          <w:r>
            <w:fldChar w:fldCharType="separate"/>
          </w:r>
          <w:r>
            <w:t>43</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"_Toc184805926" </w:instrText>
          </w:r>
          <w:r>
            <w:fldChar w:fldCharType="separate"/>
          </w:r>
          <w:r>
            <w:rPr>
              <w:rStyle w:val="34"/>
            </w:rPr>
            <w:t>七、 水环境保护措施</w:t>
          </w:r>
          <w:r>
            <w:tab/>
          </w:r>
          <w:r>
            <w:fldChar w:fldCharType="begin"/>
          </w:r>
          <w:r>
            <w:instrText xml:space="preserve"> PAGEREF _Toc184805926 \h </w:instrText>
          </w:r>
          <w:r>
            <w:fldChar w:fldCharType="separate"/>
          </w:r>
          <w:r>
            <w:t>45</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"_Toc184805927" </w:instrText>
          </w:r>
          <w:r>
            <w:fldChar w:fldCharType="separate"/>
          </w:r>
          <w:r>
            <w:rPr>
              <w:rStyle w:val="34"/>
              <w14:scene3d>
                <w14:lightRig w14:rig="threePt" w14:dir="t">
                  <w14:rot w14:lat="0" w14:lon="0" w14:rev="0"/>
                </w14:lightRig>
              </w14:scene3d>
            </w:rPr>
            <w:t>7.1</w:t>
          </w:r>
          <w:r>
            <w:rPr>
              <w:rStyle w:val="34"/>
            </w:rPr>
            <w:t xml:space="preserve"> 水生态保护措施</w:t>
          </w:r>
          <w:r>
            <w:tab/>
          </w:r>
          <w:r>
            <w:fldChar w:fldCharType="begin"/>
          </w:r>
          <w:r>
            <w:instrText xml:space="preserve"> PAGEREF _Toc184805927 \h </w:instrText>
          </w:r>
          <w:r>
            <w:fldChar w:fldCharType="separate"/>
          </w:r>
          <w:r>
            <w:t>45</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"_Toc184805928" </w:instrText>
          </w:r>
          <w:r>
            <w:fldChar w:fldCharType="separate"/>
          </w:r>
          <w:r>
            <w:rPr>
              <w:rStyle w:val="34"/>
              <w14:scene3d>
                <w14:lightRig w14:rig="threePt" w14:dir="t">
                  <w14:rot w14:lat="0" w14:lon="0" w14:rev="0"/>
                </w14:lightRig>
              </w14:scene3d>
            </w:rPr>
            <w:t>7.2</w:t>
          </w:r>
          <w:r>
            <w:rPr>
              <w:rStyle w:val="34"/>
            </w:rPr>
            <w:t xml:space="preserve"> 事故排放时应急措施</w:t>
          </w:r>
          <w:r>
            <w:tab/>
          </w:r>
          <w:r>
            <w:fldChar w:fldCharType="begin"/>
          </w:r>
          <w:r>
            <w:instrText xml:space="preserve"> PAGEREF _Toc184805928 \h </w:instrText>
          </w:r>
          <w:r>
            <w:fldChar w:fldCharType="separate"/>
          </w:r>
          <w:r>
            <w:t>46</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"_Toc184805929" </w:instrText>
          </w:r>
          <w:r>
            <w:fldChar w:fldCharType="separate"/>
          </w:r>
          <w:r>
            <w:rPr>
              <w:rStyle w:val="34"/>
              <w14:scene3d>
                <w14:lightRig w14:rig="threePt" w14:dir="t">
                  <w14:rot w14:lat="0" w14:lon="0" w14:rev="0"/>
                </w14:lightRig>
              </w14:scene3d>
            </w:rPr>
            <w:t>7.3</w:t>
          </w:r>
          <w:r>
            <w:rPr>
              <w:rStyle w:val="34"/>
            </w:rPr>
            <w:t xml:space="preserve"> 入河排放口设置要求</w:t>
          </w:r>
          <w:r>
            <w:tab/>
          </w:r>
          <w:r>
            <w:fldChar w:fldCharType="begin"/>
          </w:r>
          <w:r>
            <w:instrText xml:space="preserve"> PAGEREF _Toc184805929 \h </w:instrText>
          </w:r>
          <w:r>
            <w:fldChar w:fldCharType="separate"/>
          </w:r>
          <w:r>
            <w:t>48</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"_Toc184805930" </w:instrText>
          </w:r>
          <w:r>
            <w:fldChar w:fldCharType="separate"/>
          </w:r>
          <w:r>
            <w:rPr>
              <w:rStyle w:val="34"/>
            </w:rPr>
            <w:t>八、 入河排污口设置合理性分析</w:t>
          </w:r>
          <w:r>
            <w:tab/>
          </w:r>
          <w:r>
            <w:fldChar w:fldCharType="begin"/>
          </w:r>
          <w:r>
            <w:instrText xml:space="preserve"> PAGEREF _Toc184805930 \h </w:instrText>
          </w:r>
          <w:r>
            <w:fldChar w:fldCharType="separate"/>
          </w:r>
          <w:r>
            <w:t>51</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"_Toc184805931" </w:instrText>
          </w:r>
          <w:r>
            <w:fldChar w:fldCharType="separate"/>
          </w:r>
          <w:r>
            <w:rPr>
              <w:rStyle w:val="34"/>
              <w14:scene3d>
                <w14:lightRig w14:rig="threePt" w14:dir="t">
                  <w14:rot w14:lat="0" w14:lon="0" w14:rev="0"/>
                </w14:lightRig>
              </w14:scene3d>
            </w:rPr>
            <w:t>8.1</w:t>
          </w:r>
          <w:r>
            <w:rPr>
              <w:rStyle w:val="34"/>
            </w:rPr>
            <w:t xml:space="preserve"> 入河排污口位置合理性分析</w:t>
          </w:r>
          <w:r>
            <w:tab/>
          </w:r>
          <w:r>
            <w:fldChar w:fldCharType="begin"/>
          </w:r>
          <w:r>
            <w:instrText xml:space="preserve"> PAGEREF _Toc184805931 \h </w:instrText>
          </w:r>
          <w:r>
            <w:fldChar w:fldCharType="separate"/>
          </w:r>
          <w:r>
            <w:t>51</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"_Toc184805932" </w:instrText>
          </w:r>
          <w:r>
            <w:fldChar w:fldCharType="separate"/>
          </w:r>
          <w:r>
            <w:rPr>
              <w:rStyle w:val="34"/>
              <w14:scene3d>
                <w14:lightRig w14:rig="threePt" w14:dir="t">
                  <w14:rot w14:lat="0" w14:lon="0" w14:rev="0"/>
                </w14:lightRig>
              </w14:scene3d>
            </w:rPr>
            <w:t>8.2</w:t>
          </w:r>
          <w:r>
            <w:rPr>
              <w:rStyle w:val="34"/>
            </w:rPr>
            <w:t xml:space="preserve"> 选址合理性分析</w:t>
          </w:r>
          <w:r>
            <w:tab/>
          </w:r>
          <w:r>
            <w:fldChar w:fldCharType="begin"/>
          </w:r>
          <w:r>
            <w:instrText xml:space="preserve"> PAGEREF _Toc184805932 \h </w:instrText>
          </w:r>
          <w:r>
            <w:fldChar w:fldCharType="separate"/>
          </w:r>
          <w:r>
            <w:t>51</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"_Toc184805933" </w:instrText>
          </w:r>
          <w:r>
            <w:fldChar w:fldCharType="separate"/>
          </w:r>
          <w:r>
            <w:rPr>
              <w:rStyle w:val="34"/>
              <w14:scene3d>
                <w14:lightRig w14:rig="threePt" w14:dir="t">
                  <w14:rot w14:lat="0" w14:lon="0" w14:rev="0"/>
                </w14:lightRig>
              </w14:scene3d>
            </w:rPr>
            <w:t>8.3</w:t>
          </w:r>
          <w:r>
            <w:rPr>
              <w:rStyle w:val="34"/>
            </w:rPr>
            <w:t xml:space="preserve"> 排污口设置合理性分析</w:t>
          </w:r>
          <w:r>
            <w:tab/>
          </w:r>
          <w:r>
            <w:fldChar w:fldCharType="begin"/>
          </w:r>
          <w:r>
            <w:instrText xml:space="preserve"> PAGEREF _Toc184805933 \h </w:instrText>
          </w:r>
          <w:r>
            <w:fldChar w:fldCharType="separate"/>
          </w:r>
          <w:r>
            <w:t>51</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"_Toc184805934" </w:instrText>
          </w:r>
          <w:r>
            <w:fldChar w:fldCharType="separate"/>
          </w:r>
          <w:r>
            <w:rPr>
              <w:rStyle w:val="34"/>
              <w14:scene3d>
                <w14:lightRig w14:rig="threePt" w14:dir="t">
                  <w14:rot w14:lat="0" w14:lon="0" w14:rev="0"/>
                </w14:lightRig>
              </w14:scene3d>
            </w:rPr>
            <w:t>8.4</w:t>
          </w:r>
          <w:r>
            <w:rPr>
              <w:rStyle w:val="34"/>
            </w:rPr>
            <w:t xml:space="preserve"> 排放浓度合理性分析</w:t>
          </w:r>
          <w:r>
            <w:tab/>
          </w:r>
          <w:r>
            <w:fldChar w:fldCharType="begin"/>
          </w:r>
          <w:r>
            <w:instrText xml:space="preserve"> PAGEREF _Toc184805934 \h </w:instrText>
          </w:r>
          <w:r>
            <w:fldChar w:fldCharType="separate"/>
          </w:r>
          <w:r>
            <w:t>52</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"_Toc184805935" </w:instrText>
          </w:r>
          <w:r>
            <w:fldChar w:fldCharType="separate"/>
          </w:r>
          <w:r>
            <w:rPr>
              <w:rStyle w:val="34"/>
              <w14:scene3d>
                <w14:lightRig w14:rig="threePt" w14:dir="t">
                  <w14:rot w14:lat="0" w14:lon="0" w14:rev="0"/>
                </w14:lightRig>
              </w14:scene3d>
            </w:rPr>
            <w:t>8.5</w:t>
          </w:r>
          <w:r>
            <w:rPr>
              <w:rStyle w:val="34"/>
            </w:rPr>
            <w:t xml:space="preserve"> 排放总量合理性分析</w:t>
          </w:r>
          <w:r>
            <w:tab/>
          </w:r>
          <w:r>
            <w:fldChar w:fldCharType="begin"/>
          </w:r>
          <w:r>
            <w:instrText xml:space="preserve"> PAGEREF _Toc184805935 \h </w:instrText>
          </w:r>
          <w:r>
            <w:fldChar w:fldCharType="separate"/>
          </w:r>
          <w:r>
            <w:t>52</w:t>
          </w:r>
          <w:r>
            <w:fldChar w:fldCharType="end"/>
          </w:r>
          <w:r>
            <w:fldChar w:fldCharType="end"/>
          </w:r>
        </w:p>
        <w:p>
          <w:pPr>
            <w:pStyle w:val="20"/>
            <w:rPr>
              <w:rFonts w:asciiTheme="minorHAnsi" w:hAnsiTheme="minorHAnsi" w:eastAsiaTheme="minorEastAsia" w:cstheme="minorBidi"/>
              <w:snapToGrid/>
              <w:color w:val="auto"/>
              <w:kern w:val="2"/>
              <w:sz w:val="21"/>
              <w:szCs w:val="22"/>
            </w:rPr>
          </w:pPr>
          <w:r>
            <w:fldChar w:fldCharType="begin"/>
          </w:r>
          <w:r>
            <w:instrText xml:space="preserve"> HYPERLINK \l "_Toc184805936" </w:instrText>
          </w:r>
          <w:r>
            <w:fldChar w:fldCharType="separate"/>
          </w:r>
          <w:r>
            <w:rPr>
              <w:rStyle w:val="34"/>
            </w:rPr>
            <w:t>九、 结论</w:t>
          </w:r>
          <w:r>
            <w:tab/>
          </w:r>
          <w:r>
            <w:fldChar w:fldCharType="begin"/>
          </w:r>
          <w:r>
            <w:instrText xml:space="preserve"> PAGEREF _Toc184805936 \h </w:instrText>
          </w:r>
          <w:r>
            <w:fldChar w:fldCharType="separate"/>
          </w:r>
          <w:r>
            <w:t>53</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"_Toc184805937" </w:instrText>
          </w:r>
          <w:r>
            <w:fldChar w:fldCharType="separate"/>
          </w:r>
          <w:r>
            <w:rPr>
              <w:rStyle w:val="34"/>
              <w14:scene3d>
                <w14:lightRig w14:rig="threePt" w14:dir="t">
                  <w14:rot w14:lat="0" w14:lon="0" w14:rev="0"/>
                </w14:lightRig>
              </w14:scene3d>
            </w:rPr>
            <w:t>9.1</w:t>
          </w:r>
          <w:r>
            <w:rPr>
              <w:rStyle w:val="34"/>
            </w:rPr>
            <w:t xml:space="preserve"> 结论</w:t>
          </w:r>
          <w:r>
            <w:tab/>
          </w:r>
          <w:r>
            <w:fldChar w:fldCharType="begin"/>
          </w:r>
          <w:r>
            <w:instrText xml:space="preserve"> PAGEREF _Toc184805937 \h </w:instrText>
          </w:r>
          <w:r>
            <w:fldChar w:fldCharType="separate"/>
          </w:r>
          <w:r>
            <w:t>53</w:t>
          </w:r>
          <w:r>
            <w:fldChar w:fldCharType="end"/>
          </w:r>
          <w:r>
            <w:fldChar w:fldCharType="end"/>
          </w:r>
        </w:p>
        <w:p>
          <w:pPr>
            <w:pStyle w:val="23"/>
            <w:rPr>
              <w:rFonts w:asciiTheme="minorHAnsi" w:hAnsiTheme="minorHAnsi" w:eastAsiaTheme="minorEastAsia" w:cstheme="minorBidi"/>
              <w:snapToGrid/>
              <w:color w:val="auto"/>
              <w:kern w:val="2"/>
              <w:sz w:val="21"/>
              <w:szCs w:val="22"/>
            </w:rPr>
          </w:pPr>
          <w:r>
            <w:fldChar w:fldCharType="begin"/>
          </w:r>
          <w:r>
            <w:instrText xml:space="preserve"> HYPERLINK \l "_Toc184805938" </w:instrText>
          </w:r>
          <w:r>
            <w:fldChar w:fldCharType="separate"/>
          </w:r>
          <w:r>
            <w:rPr>
              <w:rStyle w:val="34"/>
              <w14:scene3d>
                <w14:lightRig w14:rig="threePt" w14:dir="t">
                  <w14:rot w14:lat="0" w14:lon="0" w14:rev="0"/>
                </w14:lightRig>
              </w14:scene3d>
            </w:rPr>
            <w:t>9.2</w:t>
          </w:r>
          <w:r>
            <w:rPr>
              <w:rStyle w:val="34"/>
            </w:rPr>
            <w:t xml:space="preserve"> 建议</w:t>
          </w:r>
          <w:r>
            <w:tab/>
          </w:r>
          <w:r>
            <w:fldChar w:fldCharType="begin"/>
          </w:r>
          <w:r>
            <w:instrText xml:space="preserve"> PAGEREF _Toc184805938 \h </w:instrText>
          </w:r>
          <w:r>
            <w:fldChar w:fldCharType="separate"/>
          </w:r>
          <w:r>
            <w:t>53</w:t>
          </w:r>
          <w:r>
            <w:fldChar w:fldCharType="end"/>
          </w:r>
          <w:r>
            <w:fldChar w:fldCharType="end"/>
          </w:r>
        </w:p>
        <w:p>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sdtContent>
    </w:sdt>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sectPr>
          <w:footerReference r:id="rId16" w:type="default"/>
          <w:pgSz w:w="11906" w:h="16838"/>
          <w:pgMar w:top="1440" w:right="1800" w:bottom="1440" w:left="1800" w:header="851" w:footer="992" w:gutter="0"/>
          <w:pgNumType w:fmt="upperRoman" w:start="1"/>
          <w:cols w:space="425" w:num="1"/>
          <w:docGrid w:type="lines" w:linePitch="312" w:charSpace="0"/>
        </w:sectPr>
      </w:pPr>
    </w:p>
    <w:p>
      <w:pPr>
        <w:pStyle w:val="42"/>
        <w:numPr>
          <w:ilvl w:val="0"/>
          <w:numId w:val="0"/>
        </w:numPr>
        <w:rPr>
          <w:color w:val="000000" w:themeColor="text1"/>
          <w14:textFill>
            <w14:solidFill>
              <w14:schemeClr w14:val="tx1"/>
            </w14:solidFill>
          </w14:textFill>
        </w:rPr>
      </w:pPr>
      <w:bookmarkStart w:id="2" w:name="_Toc184805821"/>
      <w:r>
        <w:rPr>
          <w:rFonts w:hint="eastAsia"/>
          <w:color w:val="000000" w:themeColor="text1"/>
          <w14:textFill>
            <w14:solidFill>
              <w14:schemeClr w14:val="tx1"/>
            </w14:solidFill>
          </w14:textFill>
        </w:rPr>
        <w:t>前 言</w:t>
      </w:r>
      <w:bookmarkEnd w:id="2"/>
    </w:p>
    <w:p>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彭水苗族土家族自治县大同镇于2</w:t>
      </w:r>
      <w:r>
        <w:rPr>
          <w:rFonts w:hAnsi="宋体"/>
          <w:bCs/>
          <w:color w:val="000000" w:themeColor="text1"/>
          <w14:textFill>
            <w14:solidFill>
              <w14:schemeClr w14:val="tx1"/>
            </w14:solidFill>
          </w14:textFill>
        </w:rPr>
        <w:t>014</w:t>
      </w:r>
      <w:r>
        <w:rPr>
          <w:rFonts w:hint="eastAsia" w:hAnsi="宋体"/>
          <w:bCs/>
          <w:color w:val="000000" w:themeColor="text1"/>
          <w14:textFill>
            <w14:solidFill>
              <w14:schemeClr w14:val="tx1"/>
            </w14:solidFill>
          </w14:textFill>
        </w:rPr>
        <w:t>年建设了大同镇污水处理厂，设计处理规模为</w:t>
      </w:r>
      <w:r>
        <w:rPr>
          <w:rFonts w:hAnsi="宋体"/>
          <w:bCs/>
          <w:color w:val="000000" w:themeColor="text1"/>
          <w14:textFill>
            <w14:solidFill>
              <w14:schemeClr w14:val="tx1"/>
            </w14:solidFill>
          </w14:textFill>
        </w:rPr>
        <w:t>250m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处理工艺为“</w:t>
      </w:r>
      <w:r>
        <w:rPr>
          <w:bCs/>
          <w:color w:val="000000" w:themeColor="text1"/>
          <w14:textFill>
            <w14:solidFill>
              <w14:schemeClr w14:val="tx1"/>
            </w14:solidFill>
          </w14:textFill>
        </w:rPr>
        <w:t>格栅池+CCQ组合池</w:t>
      </w:r>
      <w:r>
        <w:rPr>
          <w:rFonts w:hint="eastAsia" w:hAnsi="宋体"/>
          <w:bCs/>
          <w:color w:val="000000" w:themeColor="text1"/>
          <w14:textFill>
            <w14:solidFill>
              <w14:schemeClr w14:val="tx1"/>
            </w14:solidFill>
          </w14:textFill>
        </w:rPr>
        <w:t>”，收集处理</w:t>
      </w:r>
      <w:r>
        <w:rPr>
          <w:rFonts w:hint="eastAsia"/>
          <w:color w:val="000000" w:themeColor="text1"/>
          <w14:textFill>
            <w14:solidFill>
              <w14:schemeClr w14:val="tx1"/>
            </w14:solidFill>
          </w14:textFill>
        </w:rPr>
        <w:t>大同镇中心镇片生活污水，</w:t>
      </w:r>
      <w:r>
        <w:rPr>
          <w:rFonts w:hint="eastAsia" w:hAnsi="宋体"/>
          <w:bCs/>
          <w:color w:val="000000" w:themeColor="text1"/>
          <w14:textFill>
            <w14:solidFill>
              <w14:schemeClr w14:val="tx1"/>
            </w14:solidFill>
          </w14:textFill>
        </w:rPr>
        <w:t>处理达到</w:t>
      </w:r>
      <w:r>
        <w:rPr>
          <w:bCs/>
          <w:color w:val="000000" w:themeColor="text1"/>
          <w14:textFill>
            <w14:solidFill>
              <w14:schemeClr w14:val="tx1"/>
            </w14:solidFill>
          </w14:textFill>
        </w:rPr>
        <w:t>《城镇污水处理厂污染物排放标准》（GB18918-2002）一级B</w:t>
      </w:r>
      <w:r>
        <w:rPr>
          <w:rFonts w:hint="eastAsia"/>
          <w:bCs/>
          <w:color w:val="000000" w:themeColor="text1"/>
          <w14:textFill>
            <w14:solidFill>
              <w14:schemeClr w14:val="tx1"/>
            </w14:solidFill>
          </w14:textFill>
        </w:rPr>
        <w:t>标准</w:t>
      </w:r>
      <w:r>
        <w:rPr>
          <w:rFonts w:hint="eastAsia" w:hAnsi="宋体"/>
          <w:bCs/>
          <w:color w:val="000000" w:themeColor="text1"/>
          <w14:textFill>
            <w14:solidFill>
              <w14:schemeClr w14:val="tx1"/>
            </w14:solidFill>
          </w14:textFill>
        </w:rPr>
        <w:t>后排放。由于处理工艺未设置消化液回流系统，人工湿地运行效果不稳定等因素，导致污水处理厂不能稳定达标运行，故对</w:t>
      </w:r>
      <w:r>
        <w:rPr>
          <w:rFonts w:hAnsi="宋体"/>
          <w:bCs/>
          <w:color w:val="000000" w:themeColor="text1"/>
          <w14:textFill>
            <w14:solidFill>
              <w14:schemeClr w14:val="tx1"/>
            </w14:solidFill>
          </w14:textFill>
        </w:rPr>
        <w:t>大同镇污水处理厂进行工艺改造</w:t>
      </w:r>
      <w:r>
        <w:rPr>
          <w:rFonts w:hint="eastAsia" w:hAnsi="宋体"/>
          <w:bCs/>
          <w:color w:val="000000" w:themeColor="text1"/>
          <w14:textFill>
            <w14:solidFill>
              <w14:schemeClr w14:val="tx1"/>
            </w14:solidFill>
          </w14:textFill>
        </w:rPr>
        <w:t>。</w:t>
      </w:r>
    </w:p>
    <w:p>
      <w:pPr>
        <w:ind w:firstLine="480"/>
        <w:rPr>
          <w:rFonts w:hAnsi="宋体"/>
          <w:bCs/>
          <w:color w:val="000000" w:themeColor="text1"/>
          <w14:textFill>
            <w14:solidFill>
              <w14:schemeClr w14:val="tx1"/>
            </w14:solidFill>
          </w14:textFill>
        </w:rPr>
      </w:pPr>
      <w:r>
        <w:rPr>
          <w:rFonts w:hint="eastAsia"/>
          <w:color w:val="000000" w:themeColor="text1"/>
          <w14:textFill>
            <w14:solidFill>
              <w14:schemeClr w14:val="tx1"/>
            </w14:solidFill>
          </w14:textFill>
        </w:rPr>
        <w:t>改造后，</w:t>
      </w:r>
      <w:r>
        <w:rPr>
          <w:color w:val="000000" w:themeColor="text1"/>
          <w14:textFill>
            <w14:solidFill>
              <w14:schemeClr w14:val="tx1"/>
            </w14:solidFill>
          </w14:textFill>
        </w:rPr>
        <w:t>大同镇污水处理厂</w:t>
      </w:r>
      <w:r>
        <w:rPr>
          <w:rFonts w:hint="eastAsia" w:hAnsi="宋体"/>
          <w:bCs/>
          <w:color w:val="000000" w:themeColor="text1"/>
          <w14:textFill>
            <w14:solidFill>
              <w14:schemeClr w14:val="tx1"/>
            </w14:solidFill>
          </w14:textFill>
        </w:rPr>
        <w:t>设计处理规模不变，仍为</w:t>
      </w:r>
      <w:r>
        <w:rPr>
          <w:rFonts w:hAnsi="宋体"/>
          <w:bCs/>
          <w:color w:val="000000" w:themeColor="text1"/>
          <w14:textFill>
            <w14:solidFill>
              <w14:schemeClr w14:val="tx1"/>
            </w14:solidFill>
          </w14:textFill>
        </w:rPr>
        <w:t>250m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处理工艺变为“</w:t>
      </w:r>
      <w:r>
        <w:rPr>
          <w:color w:val="000000" w:themeColor="text1"/>
          <w14:textFill>
            <w14:solidFill>
              <w14:schemeClr w14:val="tx1"/>
            </w14:solidFill>
          </w14:textFill>
        </w:rPr>
        <w:t>AO+化学除磷+消毒</w:t>
      </w:r>
      <w:r>
        <w:rPr>
          <w:rFonts w:hint="eastAsia" w:hAnsi="宋体"/>
          <w:bCs/>
          <w:color w:val="000000" w:themeColor="text1"/>
          <w14:textFill>
            <w14:solidFill>
              <w14:schemeClr w14:val="tx1"/>
            </w14:solidFill>
          </w14:textFill>
        </w:rPr>
        <w:t>”，收集处理</w:t>
      </w:r>
      <w:r>
        <w:rPr>
          <w:rFonts w:hint="eastAsia"/>
          <w:color w:val="000000" w:themeColor="text1"/>
          <w14:textFill>
            <w14:solidFill>
              <w14:schemeClr w14:val="tx1"/>
            </w14:solidFill>
          </w14:textFill>
        </w:rPr>
        <w:t>大同镇中心镇片生活污水，</w:t>
      </w:r>
      <w:r>
        <w:rPr>
          <w:rFonts w:hint="eastAsia" w:hAnsi="宋体"/>
          <w:bCs/>
          <w:color w:val="000000" w:themeColor="text1"/>
          <w14:textFill>
            <w14:solidFill>
              <w14:schemeClr w14:val="tx1"/>
            </w14:solidFill>
          </w14:textFill>
        </w:rPr>
        <w:t>处理达到</w:t>
      </w:r>
      <w:r>
        <w:rPr>
          <w:bCs/>
          <w:color w:val="000000" w:themeColor="text1"/>
          <w14:textFill>
            <w14:solidFill>
              <w14:schemeClr w14:val="tx1"/>
            </w14:solidFill>
          </w14:textFill>
        </w:rPr>
        <w:t>《城镇污水处理厂污染物排放标准》（GB18918-2002）一级B</w:t>
      </w:r>
      <w:r>
        <w:rPr>
          <w:rFonts w:hint="eastAsia"/>
          <w:bCs/>
          <w:color w:val="000000" w:themeColor="text1"/>
          <w14:textFill>
            <w14:solidFill>
              <w14:schemeClr w14:val="tx1"/>
            </w14:solidFill>
          </w14:textFill>
        </w:rPr>
        <w:t>标准，</w:t>
      </w:r>
      <w:r>
        <w:rPr>
          <w:rFonts w:hint="eastAsia" w:hAnsi="宋体"/>
          <w:bCs/>
          <w:color w:val="000000" w:themeColor="text1"/>
          <w14:textFill>
            <w14:solidFill>
              <w14:schemeClr w14:val="tx1"/>
            </w14:solidFill>
          </w14:textFill>
        </w:rPr>
        <w:t>通过尾水管道排入厂区南侧小溪沟，</w:t>
      </w:r>
      <w:r>
        <w:rPr>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10</w:t>
      </w:r>
      <w:r>
        <w:rPr>
          <w:rFonts w:hint="eastAsia" w:cs="Times New Roman"/>
          <w:snapToGrid/>
          <w:color w:val="000000" w:themeColor="text1"/>
          <w14:textFill>
            <w14:solidFill>
              <w14:schemeClr w14:val="tx1"/>
            </w14:solidFill>
          </w14:textFill>
        </w:rPr>
        <w:t>k</w:t>
      </w:r>
      <w:r>
        <w:rPr>
          <w:rFonts w:cs="Times New Roman"/>
          <w:snapToGrid/>
          <w:color w:val="000000" w:themeColor="text1"/>
          <w14:textFill>
            <w14:solidFill>
              <w14:schemeClr w14:val="tx1"/>
            </w14:solidFill>
          </w14:textFill>
        </w:rPr>
        <w:t>m</w:t>
      </w:r>
      <w:r>
        <w:rPr>
          <w:rFonts w:hint="eastAsia" w:cs="Times New Roman"/>
          <w:snapToGrid/>
          <w:color w:val="000000" w:themeColor="text1"/>
          <w14:textFill>
            <w14:solidFill>
              <w14:schemeClr w14:val="tx1"/>
            </w14:solidFill>
          </w14:textFill>
        </w:rPr>
        <w:t>小溪沟</w:t>
      </w:r>
      <w:r>
        <w:rPr>
          <w:rFonts w:hint="eastAsia" w:hAnsi="宋体"/>
          <w:bCs/>
          <w:color w:val="000000" w:themeColor="text1"/>
          <w14:textFill>
            <w14:solidFill>
              <w14:schemeClr w14:val="tx1"/>
            </w14:solidFill>
          </w14:textFill>
        </w:rPr>
        <w:t>后汇入诸佛江。</w:t>
      </w:r>
    </w:p>
    <w:p>
      <w:pPr>
        <w:ind w:firstLine="480"/>
        <w:rPr>
          <w:rFonts w:hAnsi="宋体"/>
          <w:bCs/>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诸佛江右岸，污水处理厂</w:t>
      </w:r>
      <w:r>
        <w:rPr>
          <w:color w:val="000000" w:themeColor="text1"/>
          <w14:textFill>
            <w14:solidFill>
              <w14:schemeClr w14:val="tx1"/>
            </w14:solidFill>
          </w14:textFill>
        </w:rPr>
        <w:t>厂区南侧</w:t>
      </w:r>
      <w:r>
        <w:rPr>
          <w:rFonts w:hint="eastAsia"/>
          <w:color w:val="000000" w:themeColor="text1"/>
          <w14:textFill>
            <w14:solidFill>
              <w14:schemeClr w14:val="tx1"/>
            </w14:solidFill>
          </w14:textFill>
        </w:rPr>
        <w:t>小溪沟</w:t>
      </w:r>
      <w:r>
        <w:rPr>
          <w:color w:val="000000" w:themeColor="text1"/>
          <w14:textFill>
            <w14:solidFill>
              <w14:schemeClr w14:val="tx1"/>
            </w14:solidFill>
          </w14:textFill>
        </w:rPr>
        <w:t>，地理坐标：</w:t>
      </w:r>
      <w:r>
        <w:rPr>
          <w:rFonts w:hint="eastAsia"/>
          <w:color w:val="000000" w:themeColor="text1"/>
          <w:spacing w:val="-13"/>
          <w14:textFill>
            <w14:solidFill>
              <w14:schemeClr w14:val="tx1"/>
            </w14:solidFill>
          </w14:textFill>
        </w:rPr>
        <w:t>东经：108.517681°，北纬：29.336179°</w:t>
      </w:r>
      <w:r>
        <w:rPr>
          <w:color w:val="000000" w:themeColor="text1"/>
          <w14:textFill>
            <w14:solidFill>
              <w14:schemeClr w14:val="tx1"/>
            </w14:solidFill>
          </w14:textFill>
        </w:rPr>
        <w:t>，该入河排污口属于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排污口，类型为城镇污水处理设施入河排污口，排放方式为连续排放</w:t>
      </w:r>
      <w:r>
        <w:rPr>
          <w:rFonts w:hint="eastAsia"/>
          <w:color w:val="000000" w:themeColor="text1"/>
          <w14:textFill>
            <w14:solidFill>
              <w14:schemeClr w14:val="tx1"/>
            </w14:solidFill>
          </w14:textFill>
        </w:rPr>
        <w:t>。</w:t>
      </w:r>
    </w:p>
    <w:p>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水功能区管理办法》和《入河排污口监督管理办法》等法律法规的要求，在江河、湖泊新建、改建或扩大排污口，需要对入河排污口设置的可行性和合理性进行论证。本项目属于新建入河排污口，因此，需</w:t>
      </w:r>
      <w:r>
        <w:rPr>
          <w:color w:val="000000" w:themeColor="text1"/>
          <w14:textFill>
            <w14:solidFill>
              <w14:schemeClr w14:val="tx1"/>
            </w14:solidFill>
          </w14:textFill>
        </w:rPr>
        <w:t>要对入河排污口设置可行性和合理性进行论证</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2024年7月，</w:t>
      </w:r>
      <w:r>
        <w:rPr>
          <w:rFonts w:hint="eastAsia"/>
          <w:color w:val="000000" w:themeColor="text1"/>
          <w14:textFill>
            <w14:solidFill>
              <w14:schemeClr w14:val="tx1"/>
            </w14:solidFill>
          </w14:textFill>
        </w:rPr>
        <w:t>重庆环投渝东南环境治理有限公司</w:t>
      </w:r>
      <w:bookmarkStart w:id="3" w:name="OLE_LINK11"/>
      <w:r>
        <w:rPr>
          <w:rFonts w:hint="eastAsia"/>
          <w:color w:val="000000" w:themeColor="text1"/>
          <w14:textFill>
            <w14:solidFill>
              <w14:schemeClr w14:val="tx1"/>
            </w14:solidFill>
          </w14:textFill>
        </w:rPr>
        <w:t>委托</w:t>
      </w:r>
      <w:r>
        <w:rPr>
          <w:rFonts w:hint="eastAsia" w:cs="Times New Roman"/>
          <w:color w:val="000000" w:themeColor="text1"/>
          <w14:textFill>
            <w14:solidFill>
              <w14:schemeClr w14:val="tx1"/>
            </w14:solidFill>
          </w14:textFill>
        </w:rPr>
        <w:t>重庆新天地环境检测技术有限公司</w:t>
      </w:r>
      <w:bookmarkEnd w:id="3"/>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大同镇污水处理厂</w:t>
      </w:r>
      <w:r>
        <w:rPr>
          <w:rFonts w:cs="Times New Roman"/>
          <w:color w:val="000000" w:themeColor="text1"/>
          <w14:textFill>
            <w14:solidFill>
              <w14:schemeClr w14:val="tx1"/>
            </w14:solidFill>
          </w14:textFill>
        </w:rPr>
        <w:t>入河排污口设置进行论证。</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经过实地调查和资料收集，我公司在对入河排污口附近水域水环境分析的基础上，结合项目所在水功能区河道的水文、水生态、水功能区划要求，分析了入河排污口纳污区域内水环境质量现状；结合水功能区划，采用数学模型，对入河排污口排污影响进行了预测模拟，分析了入河排污口设置对水功能区、水生态以及第三方权益产生的影响，并对入河排污口设置的合理性进行了分析</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本报告在编制过程中，得到了</w:t>
      </w:r>
      <w:r>
        <w:rPr>
          <w:rFonts w:hint="eastAsia" w:cs="Times New Roman"/>
          <w:color w:val="000000" w:themeColor="text1"/>
          <w14:textFill>
            <w14:solidFill>
              <w14:schemeClr w14:val="tx1"/>
            </w14:solidFill>
          </w14:textFill>
        </w:rPr>
        <w:t>彭水苗族土家族自治县生态环境</w:t>
      </w:r>
      <w:r>
        <w:rPr>
          <w:rFonts w:cs="Times New Roman"/>
          <w:color w:val="000000" w:themeColor="text1"/>
          <w14:textFill>
            <w14:solidFill>
              <w14:schemeClr w14:val="tx1"/>
            </w14:solidFill>
          </w14:textFill>
        </w:rPr>
        <w:t>局</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重庆环投渝东南环境治理有限公司</w:t>
      </w:r>
      <w:r>
        <w:rPr>
          <w:color w:val="000000" w:themeColor="text1"/>
          <w14:textFill>
            <w14:solidFill>
              <w14:schemeClr w14:val="tx1"/>
            </w14:solidFill>
          </w14:textFill>
        </w:rPr>
        <w:t>（委托单位）</w:t>
      </w:r>
      <w:r>
        <w:rPr>
          <w:rFonts w:cs="Times New Roman"/>
          <w:color w:val="000000" w:themeColor="text1"/>
          <w14:textFill>
            <w14:solidFill>
              <w14:schemeClr w14:val="tx1"/>
            </w14:solidFill>
          </w14:textFill>
        </w:rPr>
        <w:t>等单位的大力支持和帮助，在此表示感谢</w:t>
      </w:r>
      <w:r>
        <w:rPr>
          <w:rFonts w:hint="eastAsia" w:cs="Times New Roman"/>
          <w:color w:val="000000" w:themeColor="text1"/>
          <w14:textFill>
            <w14:solidFill>
              <w14:schemeClr w14:val="tx1"/>
            </w14:solidFill>
          </w14:textFill>
        </w:rPr>
        <w:t>！</w:t>
      </w:r>
    </w:p>
    <w:p>
      <w:pPr>
        <w:widowControl/>
        <w:autoSpaceDE/>
        <w:autoSpaceDN/>
        <w:adjustRightInd/>
        <w:snapToGrid/>
        <w:spacing w:line="240" w:lineRule="auto"/>
        <w:ind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2"/>
        <w:ind w:left="0" w:firstLine="0"/>
        <w:rPr>
          <w:color w:val="000000" w:themeColor="text1"/>
          <w14:textFill>
            <w14:solidFill>
              <w14:schemeClr w14:val="tx1"/>
            </w14:solidFill>
          </w14:textFill>
        </w:rPr>
      </w:pPr>
      <w:bookmarkStart w:id="4" w:name="_Toc184805822"/>
      <w:bookmarkStart w:id="5" w:name="_Toc163637560"/>
      <w:r>
        <w:rPr>
          <w:rFonts w:hint="eastAsia"/>
          <w:color w:val="000000" w:themeColor="text1"/>
          <w14:textFill>
            <w14:solidFill>
              <w14:schemeClr w14:val="tx1"/>
            </w14:solidFill>
          </w14:textFill>
        </w:rPr>
        <w:t>总则</w:t>
      </w:r>
      <w:bookmarkEnd w:id="4"/>
      <w:bookmarkEnd w:id="5"/>
    </w:p>
    <w:p>
      <w:pPr>
        <w:pStyle w:val="3"/>
        <w:rPr>
          <w:color w:val="000000" w:themeColor="text1"/>
          <w14:textFill>
            <w14:solidFill>
              <w14:schemeClr w14:val="tx1"/>
            </w14:solidFill>
          </w14:textFill>
        </w:rPr>
      </w:pPr>
      <w:bookmarkStart w:id="6" w:name="_Toc184805823"/>
      <w:r>
        <w:rPr>
          <w:rFonts w:hint="eastAsia"/>
          <w:color w:val="000000" w:themeColor="text1"/>
          <w14:textFill>
            <w14:solidFill>
              <w14:schemeClr w14:val="tx1"/>
            </w14:solidFill>
          </w14:textFill>
        </w:rPr>
        <w:t>论证目的</w:t>
      </w:r>
      <w:bookmarkEnd w:id="6"/>
    </w:p>
    <w:p>
      <w:pPr>
        <w:ind w:firstLine="480"/>
        <w:rPr>
          <w:color w:val="000000" w:themeColor="text1"/>
          <w14:textFill>
            <w14:solidFill>
              <w14:schemeClr w14:val="tx1"/>
            </w14:solidFill>
          </w14:textFill>
        </w:rPr>
      </w:pPr>
      <w:r>
        <w:rPr>
          <w:color w:val="000000" w:themeColor="text1"/>
          <w14:textFill>
            <w14:solidFill>
              <w14:schemeClr w14:val="tx1"/>
            </w14:solidFill>
          </w14:textFill>
        </w:rPr>
        <w:t>（1）为合理开发利用和保护水资源，协调好环境保护和区域发展的关系，营造人与自然的和谐氛围，有效保护长江干流水域水质安全和生态环境，实现排污口有效监督管理：按照《中华人民共和国水法》、《中华人民共和国环境保护法》、《水功能区管理办法》和《入河排污口监督管理办法》等法律法规的要求，在满足水功能区保护要求的前提下，论证入河排污口设置对水功能区水质、水生态和第三者权益的影响。</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保护水资源环境：根据受纳水体纳污能力、排污总量控制、水生态保护等要求，对排污口设置的合理性进行论证分析，优化入河排污口设置方案，并提出水资源保护措施，以保障所在水域生活、生产和生态用水安全。</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（3）提供科学审批的依据：通过对入河排污口设置合理性的论证，为</w:t>
      </w:r>
      <w:r>
        <w:rPr>
          <w:rFonts w:hint="eastAsia"/>
          <w:color w:val="000000" w:themeColor="text1"/>
          <w14:textFill>
            <w14:solidFill>
              <w14:schemeClr w14:val="tx1"/>
            </w14:solidFill>
          </w14:textFill>
        </w:rPr>
        <w:t>彭水苗族土家族自治县生态环境局审批入河排污口以及建设单位合理设置入河排污口提供科学根据</w:t>
      </w:r>
      <w:r>
        <w:rPr>
          <w:color w:val="000000" w:themeColor="text1"/>
          <w14:textFill>
            <w14:solidFill>
              <w14:schemeClr w14:val="tx1"/>
            </w14:solidFill>
          </w14:textFill>
        </w:rPr>
        <w:t>。</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7" w:name="_Toc184805824"/>
      <w:r>
        <w:rPr>
          <w:rFonts w:hint="eastAsia"/>
          <w:color w:val="000000" w:themeColor="text1"/>
          <w14:textFill>
            <w14:solidFill>
              <w14:schemeClr w14:val="tx1"/>
            </w14:solidFill>
          </w14:textFill>
        </w:rPr>
        <w:t>论证原则</w:t>
      </w:r>
      <w:bookmarkEnd w:id="7"/>
    </w:p>
    <w:p>
      <w:pPr>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以国家法律法规为依据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中华人民共和国环境保护法》、《水功能区监督管理办法》和《入河排污口监督管理办法》等法律法规的规定，充分考虑水资源的可再生能力以及自然环境的承受能力，坚持可持续发展的原则，进行科学合理的论证，既要保证本区域和当代人的用水安全，又不破坏相邻区域和后代人赖以生存的水环境</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以保护水资源功能为目标</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坚持水资源利用与保护并重的原则，严格按照《地表水环境质量标准》、《城镇污水处理厂污染物排放标准》等技术标准和规程进行论证，既要合理利用水体自净能力，又要依据国家和行业技术标准，严格遵循水环境保护规律和原理，保障水环境安全</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（3）以符合区域发展规划为基础</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在《重庆市城乡总体规划（2007-2020年）》、</w:t>
      </w:r>
      <w:r>
        <w:rPr>
          <w:rFonts w:hint="eastAsia"/>
          <w:color w:val="000000" w:themeColor="text1"/>
          <w14:textFill>
            <w14:solidFill>
              <w14:schemeClr w14:val="tx1"/>
            </w14:solidFill>
          </w14:textFill>
        </w:rPr>
        <w:t>《重庆市彭水苗族土家族自治县水生态环境保护“十四五”规划（2021-2025年）》</w:t>
      </w:r>
      <w:r>
        <w:rPr>
          <w:color w:val="000000" w:themeColor="text1"/>
          <w14:textFill>
            <w14:solidFill>
              <w14:schemeClr w14:val="tx1"/>
            </w14:solidFill>
          </w14:textFill>
        </w:rPr>
        <w:t>等相关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8" w:name="_Toc184805825"/>
      <w:r>
        <w:rPr>
          <w:rFonts w:hint="eastAsia"/>
          <w:color w:val="000000" w:themeColor="text1"/>
          <w14:textFill>
            <w14:solidFill>
              <w14:schemeClr w14:val="tx1"/>
            </w14:solidFill>
          </w14:textFill>
        </w:rPr>
        <w:t>论证依据</w:t>
      </w:r>
      <w:bookmarkEnd w:id="8"/>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法律法规和相关条例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《中华人民共和国水法》（2016年7月2日修订）；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中华人民共和国环境保护法》（2015年1月1日起施行）；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《中华人民共和国水污染防治法》（2017年6月27日修订）；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《饮用水水源保护区污染防治管理规定》（2010年12月22日修订）；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《水功能区监督管理办法》（2017年4月1日起施行）；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《建设项目水资源论证管理办法》（2017年12月22日修订）；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《入河排污口监督管理办法》（2015年12月16日修订）；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《重庆市河道管理条例》（2018年7月26日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《重庆市水资源管理条例》（2023年3月30日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重庆市水污染防治条例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（2020年10月1日</w:t>
      </w:r>
      <w:r>
        <w:rPr>
          <w:color w:val="000000" w:themeColor="text1"/>
          <w14:textFill>
            <w14:solidFill>
              <w14:schemeClr w14:val="tx1"/>
            </w14:solidFill>
          </w14:textFill>
        </w:rPr>
        <w:t>施行</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规范和技术标准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）《地表水环境质量标准》（GB 3838-2002）；</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）《农田灌溉水质标准》（GB 5084-20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）《景观娱乐用水水质标准》（GB 12941-91）；</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）《水功能区划分标准》（GB/T 50594-2010）；</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）《污水综合排放标准》（GB 8978-1996）；</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）《城镇污水处理厂污染物排放标准》（GB 18918-2002）；</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）《入河入海排污口监督管理技术指南 入河排污口规范化建设》（H</w:t>
      </w:r>
      <w:r>
        <w:rPr>
          <w:color w:val="000000" w:themeColor="text1"/>
          <w14:textFill>
            <w14:solidFill>
              <w14:schemeClr w14:val="tx1"/>
            </w14:solidFill>
          </w14:textFill>
        </w:rPr>
        <w:t>J 1309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技术报告和文件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《重庆市生态环境保护“十四五”规划（2021-2025年）》；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《筑牢长江上游重要生态屏障“十四五”建设规划（2021-2025年）》</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（4）《全国重要江河湖泊水功能区划（2</w:t>
      </w:r>
      <w:r>
        <w:rPr>
          <w:color w:val="000000" w:themeColor="text1"/>
          <w14:textFill>
            <w14:solidFill>
              <w14:schemeClr w14:val="tx1"/>
            </w14:solidFill>
          </w14:textFill>
        </w:rPr>
        <w:t>013-2030</w:t>
      </w:r>
      <w:r>
        <w:rPr>
          <w:rFonts w:hint="eastAsia"/>
          <w:color w:val="000000" w:themeColor="text1"/>
          <w14:textFill>
            <w14:solidFill>
              <w14:schemeClr w14:val="tx1"/>
            </w14:solidFill>
          </w14:textFill>
        </w:rPr>
        <w:t>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）《彭水县水功能区纳污能力核定和分阶段限制排污总量控制方案报告》（201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）《重庆市彭水县水功能区划修编报告》（2011年）。</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 w:name="_Toc184805826"/>
      <w:r>
        <w:rPr>
          <w:rFonts w:hint="eastAsia"/>
          <w:color w:val="000000" w:themeColor="text1"/>
          <w14:textFill>
            <w14:solidFill>
              <w14:schemeClr w14:val="tx1"/>
            </w14:solidFill>
          </w14:textFill>
        </w:rPr>
        <w:t>论证范围</w:t>
      </w:r>
      <w:bookmarkEnd w:id="9"/>
    </w:p>
    <w:p>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本次论证的</w:t>
      </w:r>
      <w:r>
        <w:rPr>
          <w:rFonts w:hint="eastAsia" w:cs="Times New Roman"/>
          <w:color w:val="000000" w:themeColor="text1"/>
          <w14:textFill>
            <w14:solidFill>
              <w14:schemeClr w14:val="tx1"/>
            </w14:solidFill>
          </w14:textFill>
        </w:rPr>
        <w:t>大同镇污水处理厂</w:t>
      </w:r>
      <w:r>
        <w:rPr>
          <w:rFonts w:hint="eastAsia"/>
          <w:color w:val="000000" w:themeColor="text1"/>
          <w14:textFill>
            <w14:solidFill>
              <w14:schemeClr w14:val="tx1"/>
            </w14:solidFill>
          </w14:textFill>
        </w:rPr>
        <w:t>位于彭水苗族土家族自治县大同镇大厂村一组，</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入河排污口设置于</w:t>
      </w:r>
      <w:r>
        <w:rPr>
          <w:rFonts w:hint="eastAsia" w:cs="Times New Roman"/>
          <w:color w:val="000000" w:themeColor="text1"/>
          <w14:textFill>
            <w14:solidFill>
              <w14:schemeClr w14:val="tx1"/>
            </w14:solidFill>
          </w14:textFill>
        </w:rPr>
        <w:t>诸佛江右岸，</w:t>
      </w:r>
      <w:r>
        <w:rPr>
          <w:color w:val="000000" w:themeColor="text1"/>
          <w14:textFill>
            <w14:solidFill>
              <w14:schemeClr w14:val="tx1"/>
            </w14:solidFill>
          </w14:textFill>
        </w:rPr>
        <w:t>厂区南侧</w:t>
      </w:r>
      <w:r>
        <w:rPr>
          <w:rFonts w:hint="eastAsia"/>
          <w:color w:val="000000" w:themeColor="text1"/>
          <w14:textFill>
            <w14:solidFill>
              <w14:schemeClr w14:val="tx1"/>
            </w14:solidFill>
          </w14:textFill>
        </w:rPr>
        <w:t>小溪沟</w:t>
      </w:r>
      <w:r>
        <w:rPr>
          <w:color w:val="000000" w:themeColor="text1"/>
          <w14:textFill>
            <w14:solidFill>
              <w14:schemeClr w14:val="tx1"/>
            </w14:solidFill>
          </w14:textFill>
        </w:rPr>
        <w:t>，地理坐标：</w:t>
      </w:r>
      <w:r>
        <w:rPr>
          <w:rFonts w:hint="eastAsia"/>
          <w:color w:val="000000" w:themeColor="text1"/>
          <w:spacing w:val="-13"/>
          <w14:textFill>
            <w14:solidFill>
              <w14:schemeClr w14:val="tx1"/>
            </w14:solidFill>
          </w14:textFill>
        </w:rPr>
        <w:t>东经：108.517681°，北纬：29.336179°</w:t>
      </w:r>
      <w:r>
        <w:rPr>
          <w:color w:val="000000" w:themeColor="text1"/>
          <w14:textFill>
            <w14:solidFill>
              <w14:schemeClr w14:val="tx1"/>
            </w14:solidFill>
          </w14:textFill>
        </w:rPr>
        <w:t>，属于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排污口，类型为城镇污水处理设施入河排污口，排放方式为</w:t>
      </w:r>
      <w:r>
        <w:rPr>
          <w:rFonts w:hint="eastAsia"/>
          <w:color w:val="000000" w:themeColor="text1"/>
          <w14:textFill>
            <w14:solidFill>
              <w14:schemeClr w14:val="tx1"/>
            </w14:solidFill>
          </w14:textFill>
        </w:rPr>
        <w:t>岸边</w:t>
      </w:r>
      <w:r>
        <w:rPr>
          <w:color w:val="000000" w:themeColor="text1"/>
          <w14:textFill>
            <w14:solidFill>
              <w14:schemeClr w14:val="tx1"/>
            </w14:solidFill>
          </w14:textFill>
        </w:rPr>
        <w:t>连续排放</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排污口论证范围以水功能区为单元</w:t>
      </w:r>
      <w:r>
        <w:rPr>
          <w:rFonts w:hint="eastAsia"/>
          <w:color w:val="000000" w:themeColor="text1"/>
          <w14:textFill>
            <w14:solidFill>
              <w14:schemeClr w14:val="tx1"/>
            </w14:solidFill>
          </w14:textFill>
        </w:rPr>
        <w:t>，根据《重庆市彭水县水功能区划修编报告》（2011年），大同镇污水处理厂排污口所在的一级水功能区为“诸佛江诸佛鹿角开发利用区”，二级水功能区为“诸佛江诸佛鹿角景观娱乐用水区”，现状水质为Ⅲ类，水质管理目标为Ⅲ类。</w:t>
      </w:r>
    </w:p>
    <w:p>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由于厂区南侧小溪沟未划定水功能区，考虑本项目处理后的尾水排放对其下游可能产生影响，将排污口至诸佛江入河口作为自然排水河沟，本次论证范围为</w:t>
      </w:r>
      <w:r>
        <w:rPr>
          <w:rFonts w:hint="eastAsia"/>
          <w:color w:val="000000" w:themeColor="text1"/>
          <w14:textFill>
            <w14:solidFill>
              <w14:schemeClr w14:val="tx1"/>
            </w14:solidFill>
          </w14:textFill>
        </w:rPr>
        <w:t>“诸佛江诸佛鹿角景观娱乐用水区”，此段上起诸佛江桐楼，下至鹿角镇诸佛江入乌江河口处，长约42.0km。</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本项目论证范围见图1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。项目所在区域水系图见附图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23435" cy="3609975"/>
            <wp:effectExtent l="0" t="0" r="5715" b="0"/>
            <wp:docPr id="2" name="图片 2" descr="C:\Users\ADMINI~1\AppData\Local\Temp\QQ_1721630024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QQ_17216300242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40375" cy="3623182"/>
                    </a:xfrm>
                    <a:prstGeom prst="rect">
                      <a:avLst/>
                    </a:prstGeom>
                    <a:noFill/>
                    <a:ln>
                      <a:noFill/>
                    </a:ln>
                  </pic:spPr>
                </pic:pic>
              </a:graphicData>
            </a:graphic>
          </wp:inline>
        </w:drawing>
      </w:r>
    </w:p>
    <w:p>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图1.4-1  论证范围示意图</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 w:name="_Toc184805827"/>
      <w:r>
        <w:rPr>
          <w:rFonts w:hint="eastAsia"/>
          <w:color w:val="000000" w:themeColor="text1"/>
          <w14:textFill>
            <w14:solidFill>
              <w14:schemeClr w14:val="tx1"/>
            </w14:solidFill>
          </w14:textFill>
        </w:rPr>
        <w:t>规划水平年与论证规模</w:t>
      </w:r>
      <w:bookmarkEnd w:id="10"/>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.5.1 </w:t>
      </w:r>
      <w:r>
        <w:rPr>
          <w:rFonts w:hint="eastAsia"/>
          <w:color w:val="000000" w:themeColor="text1"/>
          <w14:textFill>
            <w14:solidFill>
              <w14:schemeClr w14:val="tx1"/>
            </w14:solidFill>
          </w14:textFill>
        </w:rPr>
        <w:t>规划水平年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重庆市生态环境局及</w:t>
      </w:r>
      <w:r>
        <w:rPr>
          <w:rFonts w:hint="eastAsia" w:hAnsi="宋体"/>
          <w:bCs/>
          <w:color w:val="000000" w:themeColor="text1"/>
          <w14:textFill>
            <w14:solidFill>
              <w14:schemeClr w14:val="tx1"/>
            </w14:solidFill>
          </w14:textFill>
        </w:rPr>
        <w:t>彭水苗族土家族自治县</w:t>
      </w:r>
      <w:r>
        <w:rPr>
          <w:rFonts w:hint="eastAsia"/>
          <w:color w:val="000000" w:themeColor="text1"/>
          <w14:textFill>
            <w14:solidFill>
              <w14:schemeClr w14:val="tx1"/>
            </w14:solidFill>
          </w14:textFill>
        </w:rPr>
        <w:t>生态环境局要求，本项目入河排污口为城镇污水处理厂入河排污口，需办理入河排污口设置审批。据此</w:t>
      </w:r>
      <w:r>
        <w:rPr>
          <w:color w:val="000000" w:themeColor="text1"/>
          <w14:textFill>
            <w14:solidFill>
              <w14:schemeClr w14:val="tx1"/>
            </w14:solidFill>
          </w14:textFill>
        </w:rPr>
        <w:t>确定本次论证</w:t>
      </w:r>
      <w:r>
        <w:rPr>
          <w:rFonts w:hint="eastAsia"/>
          <w:color w:val="000000" w:themeColor="text1"/>
          <w14:textFill>
            <w14:solidFill>
              <w14:schemeClr w14:val="tx1"/>
            </w14:solidFill>
          </w14:textFill>
        </w:rPr>
        <w:t>规划</w:t>
      </w:r>
      <w:r>
        <w:rPr>
          <w:color w:val="000000" w:themeColor="text1"/>
          <w14:textFill>
            <w14:solidFill>
              <w14:schemeClr w14:val="tx1"/>
            </w14:solidFill>
          </w14:textFill>
        </w:rPr>
        <w:t>水平年为2024年</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论证规模</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本次对</w:t>
      </w:r>
      <w:r>
        <w:rPr>
          <w:rFonts w:hint="eastAsia"/>
          <w:color w:val="000000" w:themeColor="text1"/>
          <w14:textFill>
            <w14:solidFill>
              <w14:schemeClr w14:val="tx1"/>
            </w14:solidFill>
          </w14:textFill>
        </w:rPr>
        <w:t>大同镇污水处理厂入河排污口</w:t>
      </w:r>
      <w:r>
        <w:rPr>
          <w:color w:val="000000" w:themeColor="text1"/>
          <w14:textFill>
            <w14:solidFill>
              <w14:schemeClr w14:val="tx1"/>
            </w14:solidFill>
          </w14:textFill>
        </w:rPr>
        <w:t>进行论证，论证规模为</w:t>
      </w:r>
      <w:r>
        <w:rPr>
          <w:bCs/>
          <w:color w:val="000000" w:themeColor="text1"/>
          <w14:textFill>
            <w14:solidFill>
              <w14:schemeClr w14:val="tx1"/>
            </w14:solidFill>
          </w14:textFill>
        </w:rPr>
        <w:t>250m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/d</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 w:name="_Toc184805828"/>
      <w:r>
        <w:rPr>
          <w:rFonts w:hint="eastAsia"/>
          <w:color w:val="000000" w:themeColor="text1"/>
          <w14:textFill>
            <w14:solidFill>
              <w14:schemeClr w14:val="tx1"/>
            </w14:solidFill>
          </w14:textFill>
        </w:rPr>
        <w:t>论证工作程序</w:t>
      </w:r>
      <w:bookmarkEnd w:id="11"/>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（1）现场查勘与资料收集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根据入河排污口设置的论证要求，组织技术人员对现场进行查勘，调查和收集</w:t>
      </w: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基本资料及所在区域自然环境和社会环境资料，排污口设置河段的水文、水质和水生态资料等，并且，收集可能影响的其他取排水用户资料等。</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收集</w:t>
      </w: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主要项目设计资料，特别是入河排污口设置方案，以及废污水处理工艺流程资料等，并对资料进行初步分析。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（2）资料整理与分析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根据所收集的资料，进行整理分析，收集分析</w:t>
      </w: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服务范围的城镇规划、分区规划、排水规划和供水规划，且对沿河排污口现状进行统计调查，明确</w:t>
      </w: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污水处理工艺流程、入河排污口设置、主要污染物排放量及污染特性等基本情况；分析所属河段水资源保护管理要求、水环境现状和水生态现状等情况，以及其他取排水用户分布情况等。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（3）建立数学模型及模型验证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根据项目所处河段河道与水文特性，确定计算边界，选定合适的计算模型，采用现状水文、水质同步监测数据对模型参数进行验证。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结果、水功能区管理的要求，分析排污口对所在水功能区水质影响程度和变化趋势；根据排污口所处河段水生态现状，以及排污口设置前后水域生态系统的演替变化趋势，分析排污口排污对水域生态系统和敏感生态目标的影响程度。论证分析排污对论证范围内及第三方取用水安全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论证结果，综合考虑排污口所在河段水文、水功能区（水域）水质和水生态保护要求、第三者权益等因素，分析入河排污口位置、污水排放影响范围的相对关系；根据排放总量，对照所在水域纳污能力，综合分析论证排污口设置的合理性，提出入河排污口设置的制约性因素。</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 w:name="_Toc184805829"/>
      <w:r>
        <w:rPr>
          <w:rFonts w:hint="eastAsia"/>
          <w:color w:val="000000" w:themeColor="text1"/>
          <w14:textFill>
            <w14:solidFill>
              <w14:schemeClr w14:val="tx1"/>
            </w14:solidFill>
          </w14:textFill>
        </w:rPr>
        <w:t>论证的主要内容</w:t>
      </w:r>
      <w:bookmarkEnd w:id="12"/>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入河排污口设置论证包括下列主要内容：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（1）入河排污口所在水功能区（水域）管理要求和取排水状况分析；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（2）入河排污口设置后污水排放对水功能区（水域）的影响范围分析；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（3）入河排污口设置对水功能区（水域）水质和水生态影响分析；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（4）入河排污口设置对有利害关系的第三者权益的影响分析；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r>
        <w:rPr>
          <w:color w:val="000000" w:themeColor="text1"/>
          <w14:textFill>
            <w14:solidFill>
              <w14:schemeClr w14:val="tx1"/>
            </w14:solidFill>
          </w14:textFill>
        </w:rPr>
        <w:br w:type="page"/>
      </w:r>
    </w:p>
    <w:p>
      <w:pPr>
        <w:pStyle w:val="42"/>
        <w:ind w:left="0" w:firstLine="0"/>
        <w:rPr>
          <w:color w:val="000000" w:themeColor="text1"/>
          <w14:textFill>
            <w14:solidFill>
              <w14:schemeClr w14:val="tx1"/>
            </w14:solidFill>
          </w14:textFill>
        </w:rPr>
      </w:pPr>
      <w:bookmarkStart w:id="13" w:name="_Toc163637568"/>
      <w:bookmarkStart w:id="14" w:name="_Toc184805830"/>
      <w:r>
        <w:rPr>
          <w:rFonts w:hint="eastAsia"/>
          <w:color w:val="000000" w:themeColor="text1"/>
          <w14:textFill>
            <w14:solidFill>
              <w14:schemeClr w14:val="tx1"/>
            </w14:solidFill>
          </w14:textFill>
        </w:rPr>
        <w:t>项目概况</w:t>
      </w:r>
      <w:bookmarkEnd w:id="13"/>
      <w:bookmarkEnd w:id="14"/>
    </w:p>
    <w:p>
      <w:pPr>
        <w:pStyle w:val="3"/>
        <w:rPr>
          <w:color w:val="000000" w:themeColor="text1"/>
          <w14:textFill>
            <w14:solidFill>
              <w14:schemeClr w14:val="tx1"/>
            </w14:solidFill>
          </w14:textFill>
        </w:rPr>
      </w:pPr>
      <w:bookmarkStart w:id="15" w:name="_Toc184805831"/>
      <w:r>
        <w:rPr>
          <w:rFonts w:hint="eastAsia"/>
          <w:color w:val="000000" w:themeColor="text1"/>
          <w14:textFill>
            <w14:solidFill>
              <w14:schemeClr w14:val="tx1"/>
            </w14:solidFill>
          </w14:textFill>
        </w:rPr>
        <w:t>项目背景</w:t>
      </w:r>
      <w:bookmarkEnd w:id="15"/>
    </w:p>
    <w:p>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彭水苗族土家族自治县大同镇于2</w:t>
      </w:r>
      <w:r>
        <w:rPr>
          <w:rFonts w:hAnsi="宋体"/>
          <w:bCs/>
          <w:color w:val="000000" w:themeColor="text1"/>
          <w14:textFill>
            <w14:solidFill>
              <w14:schemeClr w14:val="tx1"/>
            </w14:solidFill>
          </w14:textFill>
        </w:rPr>
        <w:t>014</w:t>
      </w:r>
      <w:r>
        <w:rPr>
          <w:rFonts w:hint="eastAsia" w:hAnsi="宋体"/>
          <w:bCs/>
          <w:color w:val="000000" w:themeColor="text1"/>
          <w14:textFill>
            <w14:solidFill>
              <w14:schemeClr w14:val="tx1"/>
            </w14:solidFill>
          </w14:textFill>
        </w:rPr>
        <w:t>年建设了大同镇污水处理厂，设计处理规模为</w:t>
      </w:r>
      <w:r>
        <w:rPr>
          <w:rFonts w:hAnsi="宋体"/>
          <w:bCs/>
          <w:color w:val="000000" w:themeColor="text1"/>
          <w14:textFill>
            <w14:solidFill>
              <w14:schemeClr w14:val="tx1"/>
            </w14:solidFill>
          </w14:textFill>
        </w:rPr>
        <w:t>250m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处理工艺为“</w:t>
      </w:r>
      <w:r>
        <w:rPr>
          <w:bCs/>
          <w:color w:val="000000" w:themeColor="text1"/>
          <w14:textFill>
            <w14:solidFill>
              <w14:schemeClr w14:val="tx1"/>
            </w14:solidFill>
          </w14:textFill>
        </w:rPr>
        <w:t>格栅池+CCQ组合池</w:t>
      </w:r>
      <w:r>
        <w:rPr>
          <w:rFonts w:hint="eastAsia" w:hAnsi="宋体"/>
          <w:bCs/>
          <w:color w:val="000000" w:themeColor="text1"/>
          <w14:textFill>
            <w14:solidFill>
              <w14:schemeClr w14:val="tx1"/>
            </w14:solidFill>
          </w14:textFill>
        </w:rPr>
        <w:t>”，收集处理</w:t>
      </w:r>
      <w:r>
        <w:rPr>
          <w:rFonts w:hint="eastAsia"/>
          <w:color w:val="000000" w:themeColor="text1"/>
          <w14:textFill>
            <w14:solidFill>
              <w14:schemeClr w14:val="tx1"/>
            </w14:solidFill>
          </w14:textFill>
        </w:rPr>
        <w:t>大同镇中心镇片生活污水，</w:t>
      </w:r>
      <w:r>
        <w:rPr>
          <w:rFonts w:hint="eastAsia" w:hAnsi="宋体"/>
          <w:bCs/>
          <w:color w:val="000000" w:themeColor="text1"/>
          <w14:textFill>
            <w14:solidFill>
              <w14:schemeClr w14:val="tx1"/>
            </w14:solidFill>
          </w14:textFill>
        </w:rPr>
        <w:t>处理达到</w:t>
      </w:r>
      <w:r>
        <w:rPr>
          <w:bCs/>
          <w:color w:val="000000" w:themeColor="text1"/>
          <w14:textFill>
            <w14:solidFill>
              <w14:schemeClr w14:val="tx1"/>
            </w14:solidFill>
          </w14:textFill>
        </w:rPr>
        <w:t>《城镇污水处理厂污染物排放标准》（GB18918-2002）一级B</w:t>
      </w:r>
      <w:r>
        <w:rPr>
          <w:rFonts w:hint="eastAsia"/>
          <w:bCs/>
          <w:color w:val="000000" w:themeColor="text1"/>
          <w14:textFill>
            <w14:solidFill>
              <w14:schemeClr w14:val="tx1"/>
            </w14:solidFill>
          </w14:textFill>
        </w:rPr>
        <w:t>标准</w:t>
      </w:r>
      <w:r>
        <w:rPr>
          <w:rFonts w:hint="eastAsia" w:hAnsi="宋体"/>
          <w:bCs/>
          <w:color w:val="000000" w:themeColor="text1"/>
          <w14:textFill>
            <w14:solidFill>
              <w14:schemeClr w14:val="tx1"/>
            </w14:solidFill>
          </w14:textFill>
        </w:rPr>
        <w:t>后排放。由于处理工艺未设置消化液回流系统，人工湿地运行效果不稳定等因素，导致污水处理厂不能稳定达标运行，故对</w:t>
      </w:r>
      <w:r>
        <w:rPr>
          <w:rFonts w:hAnsi="宋体"/>
          <w:bCs/>
          <w:color w:val="000000" w:themeColor="text1"/>
          <w14:textFill>
            <w14:solidFill>
              <w14:schemeClr w14:val="tx1"/>
            </w14:solidFill>
          </w14:textFill>
        </w:rPr>
        <w:t>大同镇污水处理厂进行工艺改造</w:t>
      </w:r>
      <w:r>
        <w:rPr>
          <w:rFonts w:hint="eastAsia" w:hAnsi="宋体"/>
          <w:bCs/>
          <w:color w:val="000000" w:themeColor="text1"/>
          <w14:textFill>
            <w14:solidFill>
              <w14:schemeClr w14:val="tx1"/>
            </w14:solidFill>
          </w14:textFill>
        </w:rPr>
        <w:t>。</w:t>
      </w:r>
    </w:p>
    <w:p>
      <w:pPr>
        <w:ind w:firstLine="480"/>
        <w:rPr>
          <w:rFonts w:hAnsi="宋体"/>
          <w:bCs/>
          <w:color w:val="000000" w:themeColor="text1"/>
          <w14:textFill>
            <w14:solidFill>
              <w14:schemeClr w14:val="tx1"/>
            </w14:solidFill>
          </w14:textFill>
        </w:rPr>
      </w:pPr>
      <w:r>
        <w:rPr>
          <w:rFonts w:hint="eastAsia"/>
          <w:color w:val="000000" w:themeColor="text1"/>
          <w14:textFill>
            <w14:solidFill>
              <w14:schemeClr w14:val="tx1"/>
            </w14:solidFill>
          </w14:textFill>
        </w:rPr>
        <w:t>改造后，</w:t>
      </w:r>
      <w:r>
        <w:rPr>
          <w:color w:val="000000" w:themeColor="text1"/>
          <w14:textFill>
            <w14:solidFill>
              <w14:schemeClr w14:val="tx1"/>
            </w14:solidFill>
          </w14:textFill>
        </w:rPr>
        <w:t>大同镇污水处理厂</w:t>
      </w:r>
      <w:r>
        <w:rPr>
          <w:rFonts w:hint="eastAsia" w:hAnsi="宋体"/>
          <w:bCs/>
          <w:color w:val="000000" w:themeColor="text1"/>
          <w14:textFill>
            <w14:solidFill>
              <w14:schemeClr w14:val="tx1"/>
            </w14:solidFill>
          </w14:textFill>
        </w:rPr>
        <w:t>设计处理规模不变，仍为</w:t>
      </w:r>
      <w:r>
        <w:rPr>
          <w:rFonts w:hAnsi="宋体"/>
          <w:bCs/>
          <w:color w:val="000000" w:themeColor="text1"/>
          <w14:textFill>
            <w14:solidFill>
              <w14:schemeClr w14:val="tx1"/>
            </w14:solidFill>
          </w14:textFill>
        </w:rPr>
        <w:t>250m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处理工艺变为“</w:t>
      </w:r>
      <w:r>
        <w:rPr>
          <w:color w:val="000000" w:themeColor="text1"/>
          <w14:textFill>
            <w14:solidFill>
              <w14:schemeClr w14:val="tx1"/>
            </w14:solidFill>
          </w14:textFill>
        </w:rPr>
        <w:t>AO+化学除磷+消毒</w:t>
      </w:r>
      <w:r>
        <w:rPr>
          <w:rFonts w:hint="eastAsia" w:hAnsi="宋体"/>
          <w:bCs/>
          <w:color w:val="000000" w:themeColor="text1"/>
          <w14:textFill>
            <w14:solidFill>
              <w14:schemeClr w14:val="tx1"/>
            </w14:solidFill>
          </w14:textFill>
        </w:rPr>
        <w:t>”，收集处理</w:t>
      </w:r>
      <w:r>
        <w:rPr>
          <w:rFonts w:hint="eastAsia"/>
          <w:color w:val="000000" w:themeColor="text1"/>
          <w14:textFill>
            <w14:solidFill>
              <w14:schemeClr w14:val="tx1"/>
            </w14:solidFill>
          </w14:textFill>
        </w:rPr>
        <w:t>大同镇中心镇片生活污水，</w:t>
      </w:r>
      <w:r>
        <w:rPr>
          <w:rFonts w:hint="eastAsia" w:hAnsi="宋体"/>
          <w:bCs/>
          <w:color w:val="000000" w:themeColor="text1"/>
          <w14:textFill>
            <w14:solidFill>
              <w14:schemeClr w14:val="tx1"/>
            </w14:solidFill>
          </w14:textFill>
        </w:rPr>
        <w:t>处理达到</w:t>
      </w:r>
      <w:r>
        <w:rPr>
          <w:bCs/>
          <w:color w:val="000000" w:themeColor="text1"/>
          <w14:textFill>
            <w14:solidFill>
              <w14:schemeClr w14:val="tx1"/>
            </w14:solidFill>
          </w14:textFill>
        </w:rPr>
        <w:t>《城镇污水处理厂污染物排放标准》（GB18918-2002）一级B</w:t>
      </w:r>
      <w:r>
        <w:rPr>
          <w:rFonts w:hint="eastAsia"/>
          <w:bCs/>
          <w:color w:val="000000" w:themeColor="text1"/>
          <w14:textFill>
            <w14:solidFill>
              <w14:schemeClr w14:val="tx1"/>
            </w14:solidFill>
          </w14:textFill>
        </w:rPr>
        <w:t>标准</w:t>
      </w:r>
      <w:r>
        <w:rPr>
          <w:rFonts w:hint="eastAsia" w:hAnsi="宋体"/>
          <w:bCs/>
          <w:color w:val="000000" w:themeColor="text1"/>
          <w14:textFill>
            <w14:solidFill>
              <w14:schemeClr w14:val="tx1"/>
            </w14:solidFill>
          </w14:textFill>
        </w:rPr>
        <w:t>后通过尾水管道排入附近小溪沟，最后汇入诸佛江。</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9年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大同镇污水处理厂取得</w:t>
      </w:r>
      <w:r>
        <w:rPr>
          <w:color w:val="000000" w:themeColor="text1"/>
          <w14:textFill>
            <w14:solidFill>
              <w14:schemeClr w14:val="tx1"/>
            </w14:solidFill>
          </w14:textFill>
        </w:rPr>
        <w:t>了彭水苗族土家族自治县发展和改革委员会下发的重庆市企业投资项目备案证（2019-500243-77-01-086840）。</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2020年12月，重庆后科环保责任有限公司编制了《彭水县大同镇污水处理厂改建工程环境影响报告表》。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2020年12月</w:t>
      </w:r>
      <w:r>
        <w:rPr>
          <w:color w:val="000000" w:themeColor="text1"/>
          <w14:textFill>
            <w14:solidFill>
              <w14:schemeClr w14:val="tx1"/>
            </w14:solidFill>
          </w14:textFill>
        </w:rPr>
        <w:t>，重庆市</w:t>
      </w:r>
      <w:r>
        <w:rPr>
          <w:rFonts w:hint="eastAsia"/>
          <w:color w:val="000000" w:themeColor="text1"/>
          <w14:textFill>
            <w14:solidFill>
              <w14:schemeClr w14:val="tx1"/>
            </w14:solidFill>
          </w14:textFill>
        </w:rPr>
        <w:t>彭水苗族土家族自治县生态环境局</w:t>
      </w:r>
      <w:r>
        <w:rPr>
          <w:color w:val="000000" w:themeColor="text1"/>
          <w14:textFill>
            <w14:solidFill>
              <w14:schemeClr w14:val="tx1"/>
            </w14:solidFill>
          </w14:textFill>
        </w:rPr>
        <w:t>以渝（</w:t>
      </w:r>
      <w:r>
        <w:rPr>
          <w:rFonts w:hint="eastAsia"/>
          <w:color w:val="000000" w:themeColor="text1"/>
          <w14:textFill>
            <w14:solidFill>
              <w14:schemeClr w14:val="tx1"/>
            </w14:solidFill>
          </w14:textFill>
        </w:rPr>
        <w:t>彭</w:t>
      </w:r>
      <w:r>
        <w:rPr>
          <w:color w:val="000000" w:themeColor="text1"/>
          <w14:textFill>
            <w14:solidFill>
              <w14:schemeClr w14:val="tx1"/>
            </w14:solidFill>
          </w14:textFill>
        </w:rPr>
        <w:t>）环准〔20</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〕032号对项目环境影响评价进行批复</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6" w:name="_Toc184805832"/>
      <w:r>
        <w:rPr>
          <w:rFonts w:hint="eastAsia"/>
          <w:color w:val="000000" w:themeColor="text1"/>
          <w14:textFill>
            <w14:solidFill>
              <w14:schemeClr w14:val="tx1"/>
            </w14:solidFill>
          </w14:textFill>
        </w:rPr>
        <w:t>项目概况</w:t>
      </w:r>
      <w:bookmarkEnd w:id="16"/>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.2.1 建设地点</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大同镇污水处理厂位于彭水苗族土家族自治县大同镇大厂村一组</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项目地理位置详见附图1</w:t>
      </w:r>
      <w:r>
        <w:rPr>
          <w:rFonts w:hint="eastAsia"/>
          <w:color w:val="000000" w:themeColor="text1"/>
          <w14:textFill>
            <w14:solidFill>
              <w14:schemeClr w14:val="tx1"/>
            </w14:solidFill>
          </w14:textFill>
        </w:rPr>
        <w:t>，排污河道、入河排污口位置见附图</w:t>
      </w:r>
      <w:r>
        <w:rPr>
          <w:color w:val="000000" w:themeColor="text1"/>
          <w14:textFill>
            <w14:solidFill>
              <w14:schemeClr w14:val="tx1"/>
            </w14:solidFill>
          </w14:textFill>
        </w:rPr>
        <w:t>6。</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建设规模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（1）建设规模：</w:t>
      </w:r>
      <w:r>
        <w:rPr>
          <w:color w:val="000000" w:themeColor="text1"/>
          <w14:textFill>
            <w14:solidFill>
              <w14:schemeClr w14:val="tx1"/>
            </w14:solidFill>
          </w14:textFill>
        </w:rPr>
        <w:t>处理规模为250m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项目投资：</w:t>
      </w:r>
      <w:r>
        <w:rPr>
          <w:rFonts w:hint="eastAsia"/>
          <w:color w:val="000000" w:themeColor="text1"/>
          <w14:textFill>
            <w14:solidFill>
              <w14:schemeClr w14:val="tx1"/>
            </w14:solidFill>
          </w14:textFill>
        </w:rPr>
        <w:t>项目投资约</w:t>
      </w:r>
      <w:r>
        <w:rPr>
          <w:color w:val="000000" w:themeColor="text1"/>
          <w14:textFill>
            <w14:solidFill>
              <w14:schemeClr w14:val="tx1"/>
            </w14:solidFill>
          </w14:textFill>
        </w:rPr>
        <w:t>1425.24万元。</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劳动定员</w:t>
      </w:r>
      <w:r>
        <w:rPr>
          <w:rFonts w:hint="eastAsia"/>
          <w:color w:val="000000" w:themeColor="text1"/>
          <w14:textFill>
            <w14:solidFill>
              <w14:schemeClr w14:val="tx1"/>
            </w14:solidFill>
          </w14:textFill>
        </w:rPr>
        <w:t>：污水处理厂定员</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工作制度为24小时运行</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服务范围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大同镇污水处理厂服务范围为彭水苗族土家族自治县大同镇中心场镇片区，进水主要为生活污水。</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.2.4 </w:t>
      </w:r>
      <w:r>
        <w:rPr>
          <w:rFonts w:hint="eastAsia"/>
          <w:color w:val="000000" w:themeColor="text1"/>
          <w14:textFill>
            <w14:solidFill>
              <w14:schemeClr w14:val="tx1"/>
            </w14:solidFill>
          </w14:textFill>
        </w:rPr>
        <w:t>项目组成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彭水苗族土家族自治县大同镇污水处理厂新建工程项目组成见表2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7" w:name="_Ref127279086"/>
      <w:r>
        <w:rPr>
          <w:rFonts w:cs="Times New Roman"/>
          <w:b/>
          <w:color w:val="000000" w:themeColor="text1"/>
          <w:sz w:val="21"/>
          <w:szCs w:val="21"/>
          <w14:textFill>
            <w14:solidFill>
              <w14:schemeClr w14:val="tx1"/>
            </w14:solidFill>
          </w14:textFill>
        </w:rPr>
        <w:t>表</w:t>
      </w:r>
      <w:bookmarkEnd w:id="17"/>
      <w:r>
        <w:rPr>
          <w:rFonts w:cs="Times New Roman"/>
          <w:b/>
          <w:color w:val="000000" w:themeColor="text1"/>
          <w:sz w:val="21"/>
          <w:szCs w:val="21"/>
          <w14:textFill>
            <w14:solidFill>
              <w14:schemeClr w14:val="tx1"/>
            </w14:solidFill>
          </w14:textFill>
        </w:rPr>
        <w:t xml:space="preserve">2.2-1  </w:t>
      </w:r>
      <w:r>
        <w:rPr>
          <w:rFonts w:hint="eastAsia" w:cs="Times New Roman"/>
          <w:b/>
          <w:color w:val="000000" w:themeColor="text1"/>
          <w:sz w:val="21"/>
          <w:szCs w:val="21"/>
          <w14:textFill>
            <w14:solidFill>
              <w14:schemeClr w14:val="tx1"/>
            </w14:solidFill>
          </w14:textFill>
        </w:rPr>
        <w:t>大同镇污水处理厂新建工程</w:t>
      </w:r>
      <w:r>
        <w:rPr>
          <w:rFonts w:cs="Times New Roman"/>
          <w:b/>
          <w:color w:val="000000" w:themeColor="text1"/>
          <w:sz w:val="21"/>
          <w:szCs w:val="21"/>
          <w14:textFill>
            <w14:solidFill>
              <w14:schemeClr w14:val="tx1"/>
            </w14:solidFill>
          </w14:textFill>
        </w:rPr>
        <w:t>项目组成表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493"/>
        <w:gridCol w:w="1118"/>
        <w:gridCol w:w="6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spacing w:line="240" w:lineRule="auto"/>
              <w:ind w:firstLine="0" w:firstLineChars="0"/>
              <w:jc w:val="center"/>
              <w:rPr>
                <w:b/>
                <w:bCs/>
                <w:color w:val="000000" w:themeColor="text1"/>
                <w:sz w:val="21"/>
                <w:szCs w:val="21"/>
                <w14:textFill>
                  <w14:solidFill>
                    <w14:schemeClr w14:val="tx1"/>
                  </w14:solidFill>
                </w14:textFill>
              </w:rPr>
            </w:pPr>
            <w:r>
              <w:rPr>
                <w:rFonts w:hAnsi="宋体"/>
                <w:b/>
                <w:bCs/>
                <w:color w:val="000000" w:themeColor="text1"/>
                <w:sz w:val="21"/>
                <w:szCs w:val="21"/>
                <w14:textFill>
                  <w14:solidFill>
                    <w14:schemeClr w14:val="tx1"/>
                  </w14:solidFill>
                </w14:textFill>
              </w:rPr>
              <w:t>工程分类</w:t>
            </w:r>
          </w:p>
        </w:tc>
        <w:tc>
          <w:tcPr>
            <w:tcW w:w="1568" w:type="dxa"/>
            <w:gridSpan w:val="2"/>
            <w:vAlign w:val="center"/>
          </w:tcPr>
          <w:p>
            <w:pPr>
              <w:spacing w:line="240" w:lineRule="auto"/>
              <w:ind w:firstLine="0" w:firstLineChars="0"/>
              <w:jc w:val="center"/>
              <w:rPr>
                <w:b/>
                <w:bCs/>
                <w:color w:val="000000" w:themeColor="text1"/>
                <w:sz w:val="21"/>
                <w:szCs w:val="21"/>
                <w14:textFill>
                  <w14:solidFill>
                    <w14:schemeClr w14:val="tx1"/>
                  </w14:solidFill>
                </w14:textFill>
              </w:rPr>
            </w:pPr>
            <w:r>
              <w:rPr>
                <w:rFonts w:hAnsi="宋体"/>
                <w:b/>
                <w:bCs/>
                <w:color w:val="000000" w:themeColor="text1"/>
                <w:sz w:val="21"/>
                <w:szCs w:val="21"/>
                <w14:textFill>
                  <w14:solidFill>
                    <w14:schemeClr w14:val="tx1"/>
                  </w14:solidFill>
                </w14:textFill>
              </w:rPr>
              <w:t>项目组成</w:t>
            </w:r>
          </w:p>
        </w:tc>
        <w:tc>
          <w:tcPr>
            <w:tcW w:w="6079" w:type="dxa"/>
            <w:vAlign w:val="center"/>
          </w:tcPr>
          <w:p>
            <w:pPr>
              <w:spacing w:line="240" w:lineRule="auto"/>
              <w:ind w:firstLine="0" w:firstLineChars="0"/>
              <w:jc w:val="center"/>
              <w:rPr>
                <w:b/>
                <w:bCs/>
                <w:color w:val="000000" w:themeColor="text1"/>
                <w:sz w:val="21"/>
                <w:szCs w:val="21"/>
                <w14:textFill>
                  <w14:solidFill>
                    <w14:schemeClr w14:val="tx1"/>
                  </w14:solidFill>
                </w14:textFill>
              </w:rPr>
            </w:pPr>
            <w:r>
              <w:rPr>
                <w:rFonts w:hAnsi="宋体"/>
                <w:b/>
                <w:bCs/>
                <w:color w:val="000000" w:themeColor="text1"/>
                <w:sz w:val="21"/>
                <w:szCs w:val="21"/>
                <w14:textFill>
                  <w14:solidFill>
                    <w14:schemeClr w14:val="tx1"/>
                  </w14:solidFill>
                </w14:textFill>
              </w:rPr>
              <w:t>规模及主要内容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restart"/>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主体工程</w:t>
            </w:r>
          </w:p>
        </w:tc>
        <w:tc>
          <w:tcPr>
            <w:tcW w:w="480" w:type="dxa"/>
            <w:vMerge w:val="restart"/>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污水处理</w:t>
            </w:r>
          </w:p>
          <w:p>
            <w:pPr>
              <w:spacing w:line="240" w:lineRule="auto"/>
              <w:ind w:firstLine="0" w:firstLineChars="0"/>
              <w:jc w:val="center"/>
              <w:rPr>
                <w:rFonts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构筑物</w:t>
            </w:r>
          </w:p>
        </w:tc>
        <w:tc>
          <w:tcPr>
            <w:tcW w:w="1088" w:type="dxa"/>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格栅池</w:t>
            </w:r>
          </w:p>
        </w:tc>
        <w:tc>
          <w:tcPr>
            <w:tcW w:w="6079" w:type="dxa"/>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格栅池：1座，尺寸</w:t>
            </w:r>
            <w:r>
              <w:rPr>
                <w:color w:val="000000" w:themeColor="text1"/>
                <w:sz w:val="21"/>
                <w:szCs w:val="21"/>
                <w14:textFill>
                  <w14:solidFill>
                    <w14:schemeClr w14:val="tx1"/>
                  </w14:solidFill>
                </w14:textFill>
              </w:rPr>
              <w:t>3.6m×1.5m×3.85m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调节池</w:t>
            </w:r>
          </w:p>
        </w:tc>
        <w:tc>
          <w:tcPr>
            <w:tcW w:w="6079" w:type="dxa"/>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w:t>
            </w:r>
            <w:r>
              <w:rPr>
                <w:color w:val="000000" w:themeColor="text1"/>
                <w:sz w:val="21"/>
                <w:szCs w:val="21"/>
                <w14:textFill>
                  <w14:solidFill>
                    <w14:schemeClr w14:val="tx1"/>
                  </w14:solidFill>
                </w14:textFill>
              </w:rPr>
              <w:t>6.0m×3.6m×5.85m</w:t>
            </w:r>
            <w:r>
              <w:rPr>
                <w:bCs/>
                <w:color w:val="000000" w:themeColor="text1"/>
                <w:sz w:val="21"/>
                <w:szCs w:val="21"/>
                <w14:textFill>
                  <w14:solidFill>
                    <w14:schemeClr w14:val="tx1"/>
                  </w14:solidFill>
                </w14:textFill>
              </w:rPr>
              <w:t>，有效水深：3.0m，停留时间：6.22h，</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rFonts w:hint="eastAsia" w:hAnsi="宋体"/>
                <w:bCs/>
                <w:color w:val="000000" w:themeColor="text1"/>
                <w:sz w:val="21"/>
                <w:szCs w:val="21"/>
                <w14:textFill>
                  <w14:solidFill>
                    <w14:schemeClr w14:val="tx1"/>
                  </w14:solidFill>
                </w14:textFill>
              </w:rPr>
              <w:t>缺氧池</w:t>
            </w:r>
          </w:p>
        </w:tc>
        <w:tc>
          <w:tcPr>
            <w:tcW w:w="607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1座，尺寸3.6m×2.1m×4.9m，有效水深4.7m，有效容积为60.91m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，停留时间：2.97h，</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YSBR池</w:t>
            </w:r>
          </w:p>
        </w:tc>
        <w:tc>
          <w:tcPr>
            <w:tcW w:w="607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1座，尺寸3.6m×2.1m×4.9m；有效水深4.6m，有效容积为30.15m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，停留时间：2.89h，</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好氧池1</w:t>
            </w:r>
          </w:p>
        </w:tc>
        <w:tc>
          <w:tcPr>
            <w:tcW w:w="6079" w:type="dxa"/>
            <w:vAlign w:val="center"/>
          </w:tcPr>
          <w:p>
            <w:pPr>
              <w:adjustRightInd/>
              <w:spacing w:line="240" w:lineRule="auto"/>
              <w:ind w:firstLine="42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1座，尺寸3.6m×2.1m×4.9m；有效水深4.6m，有效容积为30.15m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，停留时间：2.89h，</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好氧池2</w:t>
            </w:r>
          </w:p>
        </w:tc>
        <w:tc>
          <w:tcPr>
            <w:tcW w:w="6079" w:type="dxa"/>
            <w:vAlign w:val="center"/>
          </w:tcPr>
          <w:p>
            <w:pPr>
              <w:adjustRightInd/>
              <w:spacing w:line="240" w:lineRule="auto"/>
              <w:ind w:firstLine="42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1座，尺寸2.1m×2.1m×4.9m；有效水深4.5m，有效容积为17.24m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，停留时间：1.65h，</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好氧池3</w:t>
            </w:r>
          </w:p>
        </w:tc>
        <w:tc>
          <w:tcPr>
            <w:tcW w:w="6079" w:type="dxa"/>
            <w:vAlign w:val="center"/>
          </w:tcPr>
          <w:p>
            <w:pPr>
              <w:adjustRightInd/>
              <w:spacing w:line="240" w:lineRule="auto"/>
              <w:ind w:firstLine="42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1座，尺寸3.6m×2.1m×4.9m；有效水深4.5m，有效容积为29.4m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，停留时间：2.82h，</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静沉池</w:t>
            </w:r>
          </w:p>
        </w:tc>
        <w:tc>
          <w:tcPr>
            <w:tcW w:w="6079" w:type="dxa"/>
            <w:vAlign w:val="center"/>
          </w:tcPr>
          <w:p>
            <w:pPr>
              <w:adjustRightInd/>
              <w:spacing w:line="240" w:lineRule="auto"/>
              <w:ind w:firstLine="42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1座，尺寸2.1m×2.1m×4.9m；有效水深4.5m，有效容积19.85m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，沉淀池表面负荷：2.36m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/m</w:t>
            </w:r>
            <w:r>
              <w:rPr>
                <w:bCs/>
                <w:color w:val="000000" w:themeColor="text1"/>
                <w:sz w:val="21"/>
                <w:szCs w:val="21"/>
                <w:vertAlign w:val="superscript"/>
                <w14:textFill>
                  <w14:solidFill>
                    <w14:schemeClr w14:val="tx1"/>
                  </w14:solidFill>
                </w14:textFill>
              </w:rPr>
              <w:t>2</w:t>
            </w:r>
            <w:r>
              <w:rPr>
                <w:bCs/>
                <w:color w:val="000000" w:themeColor="text1"/>
                <w:sz w:val="21"/>
                <w:szCs w:val="21"/>
                <w14:textFill>
                  <w14:solidFill>
                    <w14:schemeClr w14:val="tx1"/>
                  </w14:solidFill>
                </w14:textFill>
              </w:rPr>
              <w:t xml:space="preserve"> h，</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混凝反应池</w:t>
            </w:r>
          </w:p>
        </w:tc>
        <w:tc>
          <w:tcPr>
            <w:tcW w:w="6079" w:type="dxa"/>
            <w:vAlign w:val="center"/>
          </w:tcPr>
          <w:p>
            <w:pPr>
              <w:adjustRightInd/>
              <w:spacing w:line="240" w:lineRule="auto"/>
              <w:ind w:firstLine="42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1座，尺寸1.2m×1.2m×2.8m；有效水深2.3m，有效容积为3.31m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，停留时间：19.2min，</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480"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088"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二沉池</w:t>
            </w:r>
          </w:p>
        </w:tc>
        <w:tc>
          <w:tcPr>
            <w:tcW w:w="6079" w:type="dxa"/>
            <w:vAlign w:val="center"/>
          </w:tcPr>
          <w:p>
            <w:pPr>
              <w:adjustRightInd/>
              <w:spacing w:line="240" w:lineRule="auto"/>
              <w:ind w:firstLine="42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1座，尺寸4.1m×4.1m×5.7m；沉淀池表面负荷：0.62m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/m</w:t>
            </w:r>
            <w:r>
              <w:rPr>
                <w:bCs/>
                <w:color w:val="000000" w:themeColor="text1"/>
                <w:sz w:val="21"/>
                <w:szCs w:val="21"/>
                <w:vertAlign w:val="superscript"/>
                <w14:textFill>
                  <w14:solidFill>
                    <w14:schemeClr w14:val="tx1"/>
                  </w14:solidFill>
                </w14:textFill>
              </w:rPr>
              <w:t>2</w:t>
            </w:r>
            <w:r>
              <w:rPr>
                <w:bCs/>
                <w:color w:val="000000" w:themeColor="text1"/>
                <w:sz w:val="21"/>
                <w:szCs w:val="21"/>
                <w14:textFill>
                  <w14:solidFill>
                    <w14:schemeClr w14:val="tx1"/>
                  </w14:solidFill>
                </w14:textFill>
              </w:rPr>
              <w:t>h，</w:t>
            </w:r>
            <w:r>
              <w:rPr>
                <w:color w:val="000000" w:themeColor="text1"/>
                <w:sz w:val="21"/>
                <w:szCs w:val="21"/>
                <w14:textFill>
                  <w14:solidFill>
                    <w14:schemeClr w14:val="tx1"/>
                  </w14:solidFill>
                </w14:textFill>
              </w:rPr>
              <w:t>钢混结构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rPr>
                <w:bCs/>
                <w:color w:val="000000" w:themeColor="text1"/>
                <w:sz w:val="21"/>
                <w:szCs w:val="21"/>
                <w14:textFill>
                  <w14:solidFill>
                    <w14:schemeClr w14:val="tx1"/>
                  </w14:solidFill>
                </w14:textFill>
              </w:rPr>
            </w:pPr>
          </w:p>
        </w:tc>
        <w:tc>
          <w:tcPr>
            <w:tcW w:w="1568" w:type="dxa"/>
            <w:gridSpan w:val="2"/>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污泥处理构筑物</w:t>
            </w:r>
          </w:p>
        </w:tc>
        <w:tc>
          <w:tcPr>
            <w:tcW w:w="607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污泥干化池：2座，尺寸6.0m×1.5m×1.0m；有效水深1.0m，钢砼结构</w:t>
            </w:r>
            <w:r>
              <w:rPr>
                <w:rFonts w:hint="eastAsia"/>
                <w:bCs/>
                <w:color w:val="000000" w:themeColor="text1"/>
                <w:sz w:val="21"/>
                <w:szCs w:val="21"/>
                <w14:textFill>
                  <w14:solidFill>
                    <w14:schemeClr w14:val="tx1"/>
                  </w14:solidFill>
                </w14:textFill>
              </w:rPr>
              <w:t>；</w:t>
            </w:r>
            <w:r>
              <w:rPr>
                <w:bCs/>
                <w:color w:val="000000" w:themeColor="text1"/>
                <w:sz w:val="21"/>
                <w:szCs w:val="21"/>
                <w14:textFill>
                  <w14:solidFill>
                    <w14:schemeClr w14:val="tx1"/>
                  </w14:solidFill>
                </w14:textFill>
              </w:rPr>
              <w:t>污泥干化加药棚：1座，尺寸13.6m×4.8m×4.5m；新增一套</w:t>
            </w:r>
            <w:r>
              <w:rPr>
                <w:color w:val="000000" w:themeColor="text1"/>
                <w:sz w:val="21"/>
                <w:szCs w:val="21"/>
                <w14:textFill>
                  <w14:solidFill>
                    <w14:schemeClr w14:val="tx1"/>
                  </w14:solidFill>
                </w14:textFill>
              </w:rPr>
              <w:t>碱加药装置</w:t>
            </w:r>
            <w:r>
              <w:rPr>
                <w:bCs/>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碳源加药装置</w:t>
            </w:r>
            <w:r>
              <w:rPr>
                <w:bCs/>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PAC加药装置</w:t>
            </w:r>
            <w:r>
              <w:rPr>
                <w:bCs/>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消毒加药装置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rPr>
                <w:bCs/>
                <w:color w:val="000000" w:themeColor="text1"/>
                <w:sz w:val="21"/>
                <w:szCs w:val="21"/>
                <w14:textFill>
                  <w14:solidFill>
                    <w14:schemeClr w14:val="tx1"/>
                  </w14:solidFill>
                </w14:textFill>
              </w:rPr>
            </w:pPr>
          </w:p>
        </w:tc>
        <w:tc>
          <w:tcPr>
            <w:tcW w:w="1568" w:type="dxa"/>
            <w:gridSpan w:val="2"/>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计量排放渠</w:t>
            </w:r>
          </w:p>
        </w:tc>
        <w:tc>
          <w:tcPr>
            <w:tcW w:w="6079" w:type="dxa"/>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尺寸5.0m×0.6m×1.1m，有效水深0.8m，有效容积2.4m</w:t>
            </w:r>
            <w:r>
              <w:rPr>
                <w:bCs/>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rPr>
                <w:bCs/>
                <w:color w:val="000000" w:themeColor="text1"/>
                <w:sz w:val="21"/>
                <w:szCs w:val="21"/>
                <w14:textFill>
                  <w14:solidFill>
                    <w14:schemeClr w14:val="tx1"/>
                  </w14:solidFill>
                </w14:textFill>
              </w:rPr>
            </w:pPr>
          </w:p>
        </w:tc>
        <w:tc>
          <w:tcPr>
            <w:tcW w:w="1568" w:type="dxa"/>
            <w:gridSpan w:val="2"/>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排放口</w:t>
            </w:r>
          </w:p>
        </w:tc>
        <w:tc>
          <w:tcPr>
            <w:tcW w:w="607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改建工程不涉及排污口的整改，尾水排放依托现有排污口，</w:t>
            </w:r>
            <w:r>
              <w:rPr>
                <w:rFonts w:hint="eastAsia"/>
                <w:bCs/>
                <w:color w:val="000000" w:themeColor="text1"/>
                <w:sz w:val="21"/>
                <w:szCs w:val="21"/>
                <w14:textFill>
                  <w14:solidFill>
                    <w14:schemeClr w14:val="tx1"/>
                  </w14:solidFill>
                </w14:textFill>
              </w:rPr>
              <w:t>排放至</w:t>
            </w:r>
            <w:r>
              <w:rPr>
                <w:bCs/>
                <w:color w:val="000000" w:themeColor="text1"/>
                <w:sz w:val="21"/>
                <w:szCs w:val="21"/>
                <w14:textFill>
                  <w14:solidFill>
                    <w14:schemeClr w14:val="tx1"/>
                  </w14:solidFill>
                </w14:textFill>
              </w:rPr>
              <w:t>厂区外</w:t>
            </w:r>
            <w:r>
              <w:rPr>
                <w:rFonts w:hint="eastAsia"/>
                <w:bCs/>
                <w:color w:val="000000" w:themeColor="text1"/>
                <w:sz w:val="21"/>
                <w:szCs w:val="21"/>
                <w14:textFill>
                  <w14:solidFill>
                    <w14:schemeClr w14:val="tx1"/>
                  </w14:solidFill>
                </w14:textFill>
              </w:rPr>
              <w:t>小溪沟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辅助工程</w:t>
            </w:r>
          </w:p>
        </w:tc>
        <w:tc>
          <w:tcPr>
            <w:tcW w:w="1568" w:type="dxa"/>
            <w:gridSpan w:val="2"/>
            <w:vAlign w:val="center"/>
          </w:tcPr>
          <w:p>
            <w:pPr>
              <w:pStyle w:val="119"/>
              <w:spacing w:line="240" w:lineRule="auto"/>
              <w:ind w:firstLine="0" w:firstLineChars="0"/>
              <w:jc w:val="center"/>
              <w:rPr>
                <w:rFonts w:cs="Times New Roman"/>
                <w:b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鼓风机房</w:t>
            </w:r>
          </w:p>
        </w:tc>
        <w:tc>
          <w:tcPr>
            <w:tcW w:w="6079" w:type="dxa"/>
            <w:vAlign w:val="center"/>
          </w:tcPr>
          <w:p>
            <w:pPr>
              <w:adjustRightInd/>
              <w:spacing w:line="240" w:lineRule="auto"/>
              <w:ind w:firstLine="42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板房结构，建筑面积2.25m</w:t>
            </w:r>
            <w:r>
              <w:rPr>
                <w:bCs/>
                <w:color w:val="000000" w:themeColor="text1"/>
                <w:sz w:val="21"/>
                <w:szCs w:val="21"/>
                <w:vertAlign w:val="superscript"/>
                <w14:textFill>
                  <w14:solidFill>
                    <w14:schemeClr w14:val="tx1"/>
                  </w14:solidFill>
                </w14:textFill>
              </w:rPr>
              <w:t>2</w:t>
            </w:r>
            <w:r>
              <w:rPr>
                <w:bCs/>
                <w:color w:val="000000" w:themeColor="text1"/>
                <w:sz w:val="21"/>
                <w:szCs w:val="21"/>
                <w14:textFill>
                  <w14:solidFill>
                    <w14:schemeClr w14:val="tx1"/>
                  </w14:solidFill>
                </w14:textFill>
              </w:rPr>
              <w:t>，并配备一台鼓风机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restart"/>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公用工程</w:t>
            </w:r>
          </w:p>
        </w:tc>
        <w:tc>
          <w:tcPr>
            <w:tcW w:w="1568" w:type="dxa"/>
            <w:gridSpan w:val="2"/>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供水</w:t>
            </w:r>
          </w:p>
        </w:tc>
        <w:tc>
          <w:tcPr>
            <w:tcW w:w="607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用水从市政管网接入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568" w:type="dxa"/>
            <w:gridSpan w:val="2"/>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排水</w:t>
            </w:r>
          </w:p>
        </w:tc>
        <w:tc>
          <w:tcPr>
            <w:tcW w:w="607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尾水排放依托现有排污口，</w:t>
            </w:r>
            <w:r>
              <w:rPr>
                <w:rFonts w:hint="eastAsia"/>
                <w:bCs/>
                <w:color w:val="000000" w:themeColor="text1"/>
                <w:sz w:val="21"/>
                <w:szCs w:val="21"/>
                <w14:textFill>
                  <w14:solidFill>
                    <w14:schemeClr w14:val="tx1"/>
                  </w14:solidFill>
                </w14:textFill>
              </w:rPr>
              <w:t>排放至</w:t>
            </w:r>
            <w:r>
              <w:rPr>
                <w:bCs/>
                <w:color w:val="000000" w:themeColor="text1"/>
                <w:sz w:val="21"/>
                <w:szCs w:val="21"/>
                <w14:textFill>
                  <w14:solidFill>
                    <w14:schemeClr w14:val="tx1"/>
                  </w14:solidFill>
                </w14:textFill>
              </w:rPr>
              <w:t>厂区外</w:t>
            </w:r>
            <w:r>
              <w:rPr>
                <w:rFonts w:hint="eastAsia"/>
                <w:bCs/>
                <w:color w:val="000000" w:themeColor="text1"/>
                <w:sz w:val="21"/>
                <w:szCs w:val="21"/>
                <w14:textFill>
                  <w14:solidFill>
                    <w14:schemeClr w14:val="tx1"/>
                  </w14:solidFill>
                </w14:textFill>
              </w:rPr>
              <w:t>小溪沟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jc w:val="center"/>
              <w:rPr>
                <w:rFonts w:hAnsi="宋体"/>
                <w:bCs/>
                <w:color w:val="000000" w:themeColor="text1"/>
                <w:sz w:val="21"/>
                <w:szCs w:val="21"/>
                <w14:textFill>
                  <w14:solidFill>
                    <w14:schemeClr w14:val="tx1"/>
                  </w14:solidFill>
                </w14:textFill>
              </w:rPr>
            </w:pPr>
          </w:p>
        </w:tc>
        <w:tc>
          <w:tcPr>
            <w:tcW w:w="1568" w:type="dxa"/>
            <w:gridSpan w:val="2"/>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供电</w:t>
            </w:r>
          </w:p>
        </w:tc>
        <w:tc>
          <w:tcPr>
            <w:tcW w:w="607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电源由市政电网供给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restart"/>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环保工程</w:t>
            </w:r>
          </w:p>
        </w:tc>
        <w:tc>
          <w:tcPr>
            <w:tcW w:w="1568" w:type="dxa"/>
            <w:gridSpan w:val="2"/>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废气</w:t>
            </w:r>
          </w:p>
        </w:tc>
        <w:tc>
          <w:tcPr>
            <w:tcW w:w="607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栅渣、污泥及时清运，种植高大阔叶乔木</w:t>
            </w:r>
            <w:r>
              <w:rPr>
                <w:rFonts w:hint="eastAsia"/>
                <w:bCs/>
                <w:color w:val="000000" w:themeColor="text1"/>
                <w:sz w:val="21"/>
                <w:szCs w:val="21"/>
                <w14:textFill>
                  <w14:solidFill>
                    <w14:schemeClr w14:val="tx1"/>
                  </w14:solidFill>
                </w14:textFill>
              </w:rPr>
              <w:t>加强厂区绿化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rPr>
                <w:bCs/>
                <w:color w:val="000000" w:themeColor="text1"/>
                <w:sz w:val="21"/>
                <w:szCs w:val="21"/>
                <w14:textFill>
                  <w14:solidFill>
                    <w14:schemeClr w14:val="tx1"/>
                  </w14:solidFill>
                </w14:textFill>
              </w:rPr>
            </w:pPr>
          </w:p>
        </w:tc>
        <w:tc>
          <w:tcPr>
            <w:tcW w:w="1568" w:type="dxa"/>
            <w:gridSpan w:val="2"/>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噪声</w:t>
            </w:r>
          </w:p>
        </w:tc>
        <w:tc>
          <w:tcPr>
            <w:tcW w:w="607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选用低噪声设备，布置在水体或室内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dxa"/>
            <w:vMerge w:val="continue"/>
            <w:vAlign w:val="center"/>
          </w:tcPr>
          <w:p>
            <w:pPr>
              <w:spacing w:line="240" w:lineRule="auto"/>
              <w:ind w:firstLine="0" w:firstLineChars="0"/>
              <w:rPr>
                <w:bCs/>
                <w:color w:val="000000" w:themeColor="text1"/>
                <w:sz w:val="21"/>
                <w:szCs w:val="21"/>
                <w14:textFill>
                  <w14:solidFill>
                    <w14:schemeClr w14:val="tx1"/>
                  </w14:solidFill>
                </w14:textFill>
              </w:rPr>
            </w:pPr>
          </w:p>
        </w:tc>
        <w:tc>
          <w:tcPr>
            <w:tcW w:w="1568" w:type="dxa"/>
            <w:gridSpan w:val="2"/>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固体废物</w:t>
            </w:r>
          </w:p>
        </w:tc>
        <w:tc>
          <w:tcPr>
            <w:tcW w:w="607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栅渣和生活垃圾</w:t>
            </w:r>
            <w:r>
              <w:rPr>
                <w:rFonts w:hint="eastAsia" w:hAnsi="宋体"/>
                <w:bCs/>
                <w:color w:val="000000" w:themeColor="text1"/>
                <w:sz w:val="21"/>
                <w:szCs w:val="21"/>
                <w14:textFill>
                  <w14:solidFill>
                    <w14:schemeClr w14:val="tx1"/>
                  </w14:solidFill>
                </w14:textFill>
              </w:rPr>
              <w:t>交环卫部门统一清运</w:t>
            </w:r>
            <w:r>
              <w:rPr>
                <w:rFonts w:hAnsi="宋体"/>
                <w:bCs/>
                <w:color w:val="000000" w:themeColor="text1"/>
                <w:sz w:val="21"/>
                <w:szCs w:val="21"/>
                <w14:textFill>
                  <w14:solidFill>
                    <w14:schemeClr w14:val="tx1"/>
                  </w14:solidFill>
                </w14:textFill>
              </w:rPr>
              <w:t>处置</w:t>
            </w:r>
            <w:r>
              <w:rPr>
                <w:rFonts w:hint="eastAsia" w:hAnsi="宋体"/>
                <w:bCs/>
                <w:color w:val="000000" w:themeColor="text1"/>
                <w:sz w:val="21"/>
                <w:szCs w:val="21"/>
                <w14:textFill>
                  <w14:solidFill>
                    <w14:schemeClr w14:val="tx1"/>
                  </w14:solidFill>
                </w14:textFill>
              </w:rPr>
              <w:t>，</w:t>
            </w:r>
            <w:r>
              <w:rPr>
                <w:rFonts w:hAnsi="宋体"/>
                <w:bCs/>
                <w:color w:val="000000" w:themeColor="text1"/>
                <w:sz w:val="21"/>
                <w:szCs w:val="21"/>
                <w14:textFill>
                  <w14:solidFill>
                    <w14:schemeClr w14:val="tx1"/>
                  </w14:solidFill>
                </w14:textFill>
              </w:rPr>
              <w:t>污泥经机械浓缩脱水</w:t>
            </w:r>
            <w:r>
              <w:rPr>
                <w:rFonts w:hint="eastAsia" w:hAnsi="宋体"/>
                <w:bCs/>
                <w:color w:val="000000" w:themeColor="text1"/>
                <w:sz w:val="21"/>
                <w:szCs w:val="21"/>
                <w14:textFill>
                  <w14:solidFill>
                    <w14:schemeClr w14:val="tx1"/>
                  </w14:solidFill>
                </w14:textFill>
              </w:rPr>
              <w:t>达到相关要求后</w:t>
            </w:r>
            <w:r>
              <w:rPr>
                <w:bCs/>
                <w:color w:val="000000" w:themeColor="text1"/>
                <w:sz w:val="21"/>
                <w:szCs w:val="21"/>
                <w14:textFill>
                  <w14:solidFill>
                    <w14:schemeClr w14:val="tx1"/>
                  </w14:solidFill>
                </w14:textFill>
              </w:rPr>
              <w:t>交环卫部门处置；生活垃圾收集桶收集生活垃圾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gridSpan w:val="3"/>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风险防范</w:t>
            </w:r>
          </w:p>
        </w:tc>
        <w:tc>
          <w:tcPr>
            <w:tcW w:w="6079"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rFonts w:hAnsi="宋体"/>
                <w:bCs/>
                <w:color w:val="000000" w:themeColor="text1"/>
                <w:sz w:val="21"/>
                <w:szCs w:val="21"/>
                <w14:textFill>
                  <w14:solidFill>
                    <w14:schemeClr w14:val="tx1"/>
                  </w14:solidFill>
                </w14:textFill>
              </w:rPr>
              <w:t>污水处理设施</w:t>
            </w:r>
            <w:r>
              <w:rPr>
                <w:rFonts w:hint="eastAsia" w:hAnsi="宋体"/>
                <w:bCs/>
                <w:color w:val="000000" w:themeColor="text1"/>
                <w:sz w:val="21"/>
                <w:szCs w:val="21"/>
                <w14:textFill>
                  <w14:solidFill>
                    <w14:schemeClr w14:val="tx1"/>
                  </w14:solidFill>
                </w14:textFill>
              </w:rPr>
              <w:t>池体</w:t>
            </w:r>
            <w:r>
              <w:rPr>
                <w:rFonts w:hAnsi="宋体"/>
                <w:bCs/>
                <w:color w:val="000000" w:themeColor="text1"/>
                <w:sz w:val="21"/>
                <w:szCs w:val="21"/>
                <w14:textFill>
                  <w14:solidFill>
                    <w14:schemeClr w14:val="tx1"/>
                  </w14:solidFill>
                </w14:textFill>
              </w:rPr>
              <w:t>防渗</w:t>
            </w:r>
          </w:p>
        </w:tc>
      </w:tr>
    </w:tbl>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.2.5 </w:t>
      </w:r>
      <w:r>
        <w:rPr>
          <w:rFonts w:hint="eastAsia"/>
          <w:color w:val="000000" w:themeColor="text1"/>
          <w14:textFill>
            <w14:solidFill>
              <w14:schemeClr w14:val="tx1"/>
            </w14:solidFill>
          </w14:textFill>
        </w:rPr>
        <w:t>平面布置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充分利用现状厂区预留空地</w:t>
      </w:r>
      <w:r>
        <w:rPr>
          <w:rFonts w:hint="eastAsia"/>
          <w:color w:val="000000" w:themeColor="text1"/>
          <w14:textFill>
            <w14:solidFill>
              <w14:schemeClr w14:val="tx1"/>
            </w14:solidFill>
          </w14:textFill>
        </w:rPr>
        <w:t>。</w:t>
      </w:r>
      <w:r>
        <w:rPr>
          <w:bCs/>
          <w:color w:val="000000" w:themeColor="text1"/>
          <w14:textFill>
            <w14:solidFill>
              <w14:schemeClr w14:val="tx1"/>
            </w14:solidFill>
          </w14:textFill>
        </w:rPr>
        <w:t>按工艺流程，由西北向东南依次布置格栅调节池、缺氧池、</w:t>
      </w:r>
      <w:r>
        <w:rPr>
          <w:color w:val="000000" w:themeColor="text1"/>
          <w:szCs w:val="26"/>
          <w14:textFill>
            <w14:solidFill>
              <w14:schemeClr w14:val="tx1"/>
            </w14:solidFill>
          </w14:textFill>
        </w:rPr>
        <w:t>YSBR池、</w:t>
      </w:r>
      <w:r>
        <w:rPr>
          <w:bCs/>
          <w:color w:val="000000" w:themeColor="text1"/>
          <w14:textFill>
            <w14:solidFill>
              <w14:schemeClr w14:val="tx1"/>
            </w14:solidFill>
          </w14:textFill>
        </w:rPr>
        <w:t>生物滤池、改良型MBBR池、清水滤池、污泥干化池、接触消毒池、计量排放渠</w:t>
      </w:r>
      <w:r>
        <w:rPr>
          <w:rFonts w:hAnsi="宋体"/>
          <w:bCs/>
          <w:color w:val="000000" w:themeColor="text1"/>
          <w14:textFill>
            <w14:solidFill>
              <w14:schemeClr w14:val="tx1"/>
            </w14:solidFill>
          </w14:textFill>
        </w:rPr>
        <w:t>。其平面布置严格按工艺流程依次展开，分区明确，布局较合理</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本项目平面布置图详见附图5</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.2.6 </w:t>
      </w:r>
      <w:r>
        <w:rPr>
          <w:rFonts w:hint="eastAsia"/>
          <w:color w:val="000000" w:themeColor="text1"/>
          <w14:textFill>
            <w14:solidFill>
              <w14:schemeClr w14:val="tx1"/>
            </w14:solidFill>
          </w14:textFill>
        </w:rPr>
        <w:t>处理工艺</w:t>
      </w:r>
    </w:p>
    <w:p>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工程采用：“</w:t>
      </w:r>
      <w:r>
        <w:rPr>
          <w:rFonts w:hint="eastAsia"/>
          <w:color w:val="000000" w:themeColor="text1"/>
          <w14:textFill>
            <w14:solidFill>
              <w14:schemeClr w14:val="tx1"/>
            </w14:solidFill>
          </w14:textFill>
        </w:rPr>
        <w:t>AO+化学除磷+消毒</w:t>
      </w:r>
      <w:r>
        <w:rPr>
          <w:rFonts w:hint="eastAsia"/>
          <w:color w:val="000000" w:themeColor="text1"/>
          <w:lang w:val="zh-CN"/>
          <w14:textFill>
            <w14:solidFill>
              <w14:schemeClr w14:val="tx1"/>
            </w14:solidFill>
          </w14:textFill>
        </w:rPr>
        <w:t>”工艺。工艺流程见图2</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4409440" cy="5690870"/>
                <wp:effectExtent l="0" t="0" r="10160" b="24130"/>
                <wp:docPr id="56" name="画布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10" name="自选图形 1432"/>
                        <wps:cNvCnPr>
                          <a:cxnSpLocks noChangeShapeType="1"/>
                        </wps:cNvCnPr>
                        <wps:spPr bwMode="auto">
                          <a:xfrm>
                            <a:off x="2068750" y="3959335"/>
                            <a:ext cx="2156" cy="436582"/>
                          </a:xfrm>
                          <a:prstGeom prst="straightConnector1">
                            <a:avLst/>
                          </a:prstGeom>
                          <a:noFill/>
                          <a:ln w="9525">
                            <a:solidFill>
                              <a:srgbClr val="000000"/>
                            </a:solidFill>
                            <a:round/>
                            <a:tailEnd type="triangle" w="med" len="med"/>
                          </a:ln>
                          <a:effectLst/>
                        </wps:spPr>
                        <wps:bodyPr/>
                      </wps:wsp>
                      <wps:wsp>
                        <wps:cNvPr id="11" name="自选图形 1436"/>
                        <wps:cNvCnPr>
                          <a:cxnSpLocks noChangeShapeType="1"/>
                        </wps:cNvCnPr>
                        <wps:spPr bwMode="auto">
                          <a:xfrm>
                            <a:off x="606395" y="3855849"/>
                            <a:ext cx="875365" cy="539"/>
                          </a:xfrm>
                          <a:prstGeom prst="straightConnector1">
                            <a:avLst/>
                          </a:prstGeom>
                          <a:noFill/>
                          <a:ln w="9525">
                            <a:solidFill>
                              <a:srgbClr val="000000"/>
                            </a:solidFill>
                            <a:round/>
                            <a:tailEnd type="triangle" w="med" len="med"/>
                          </a:ln>
                          <a:effectLst/>
                        </wps:spPr>
                        <wps:bodyPr/>
                      </wps:wsp>
                      <wps:wsp>
                        <wps:cNvPr id="12" name="文本框 1422"/>
                        <wps:cNvSpPr txBox="1">
                          <a:spLocks noChangeArrowheads="1"/>
                        </wps:cNvSpPr>
                        <wps:spPr bwMode="auto">
                          <a:xfrm>
                            <a:off x="1181477" y="694944"/>
                            <a:ext cx="1778759" cy="343087"/>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格栅池</w:t>
                              </w:r>
                            </w:p>
                          </w:txbxContent>
                        </wps:txbx>
                        <wps:bodyPr rot="0" vert="horz" wrap="square" lIns="0" tIns="38851" rIns="0" bIns="38851" anchor="t" anchorCtr="0" upright="1">
                          <a:noAutofit/>
                        </wps:bodyPr>
                      </wps:wsp>
                      <wps:wsp>
                        <wps:cNvPr id="13" name="自选图形 1423"/>
                        <wps:cNvCnPr>
                          <a:cxnSpLocks noChangeShapeType="1"/>
                        </wps:cNvCnPr>
                        <wps:spPr bwMode="auto">
                          <a:xfrm>
                            <a:off x="2070906" y="279654"/>
                            <a:ext cx="1078" cy="347109"/>
                          </a:xfrm>
                          <a:prstGeom prst="straightConnector1">
                            <a:avLst/>
                          </a:prstGeom>
                          <a:noFill/>
                          <a:ln w="9525">
                            <a:solidFill>
                              <a:srgbClr val="000000"/>
                            </a:solidFill>
                            <a:round/>
                            <a:tailEnd type="triangle" w="med" len="med"/>
                          </a:ln>
                          <a:effectLst/>
                        </wps:spPr>
                        <wps:bodyPr/>
                      </wps:wsp>
                      <wps:wsp>
                        <wps:cNvPr id="14" name="文本框 1424"/>
                        <wps:cNvSpPr txBox="1">
                          <a:spLocks noChangeArrowheads="1"/>
                        </wps:cNvSpPr>
                        <wps:spPr bwMode="auto">
                          <a:xfrm>
                            <a:off x="1228954" y="43885"/>
                            <a:ext cx="1521000" cy="263347"/>
                          </a:xfrm>
                          <a:prstGeom prst="rect">
                            <a:avLst/>
                          </a:prstGeom>
                          <a:solidFill>
                            <a:srgbClr val="FFFFFF"/>
                          </a:solidFill>
                          <a:ln w="9525" cap="rnd">
                            <a:solidFill>
                              <a:srgbClr val="000000"/>
                            </a:solidFill>
                            <a:prstDash val="sysDot"/>
                            <a:miter lim="800000"/>
                          </a:ln>
                          <a:effectLst/>
                        </wps:spPr>
                        <wps:txbx>
                          <w:txbxContent>
                            <w:p>
                              <w:pPr>
                                <w:spacing w:line="240" w:lineRule="auto"/>
                                <w:ind w:firstLine="0" w:firstLineChars="0"/>
                                <w:jc w:val="center"/>
                                <w:rPr>
                                  <w:szCs w:val="28"/>
                                </w:rPr>
                              </w:pPr>
                              <w:r>
                                <w:rPr>
                                  <w:rFonts w:hint="eastAsia"/>
                                  <w:szCs w:val="28"/>
                                </w:rPr>
                                <w:t>市政管网来生活污水</w:t>
                              </w:r>
                            </w:p>
                          </w:txbxContent>
                        </wps:txbx>
                        <wps:bodyPr rot="0" vert="horz" wrap="square" lIns="0" tIns="38851" rIns="0" bIns="38851" anchor="t" anchorCtr="0" upright="1">
                          <a:noAutofit/>
                        </wps:bodyPr>
                      </wps:wsp>
                      <wps:wsp>
                        <wps:cNvPr id="15" name="文本框 1425"/>
                        <wps:cNvSpPr txBox="1">
                          <a:spLocks noChangeArrowheads="1"/>
                        </wps:cNvSpPr>
                        <wps:spPr bwMode="auto">
                          <a:xfrm>
                            <a:off x="1480682" y="1460041"/>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调节池</w:t>
                              </w:r>
                            </w:p>
                          </w:txbxContent>
                        </wps:txbx>
                        <wps:bodyPr rot="0" vert="horz" wrap="square" lIns="0" tIns="38851" rIns="0" bIns="38851" anchor="t" anchorCtr="0" upright="1">
                          <a:noAutofit/>
                        </wps:bodyPr>
                      </wps:wsp>
                      <wps:wsp>
                        <wps:cNvPr id="16" name="文本框 1429"/>
                        <wps:cNvSpPr txBox="1">
                          <a:spLocks noChangeArrowheads="1"/>
                        </wps:cNvSpPr>
                        <wps:spPr bwMode="auto">
                          <a:xfrm>
                            <a:off x="1115228" y="5175450"/>
                            <a:ext cx="1845058" cy="442624"/>
                          </a:xfrm>
                          <a:prstGeom prst="rect">
                            <a:avLst/>
                          </a:prstGeom>
                          <a:solidFill>
                            <a:srgbClr val="FFFFFF"/>
                          </a:solidFill>
                          <a:ln w="9525" cap="rnd">
                            <a:solidFill>
                              <a:srgbClr val="000000"/>
                            </a:solidFill>
                            <a:prstDash val="sysDot"/>
                            <a:miter lim="800000"/>
                          </a:ln>
                          <a:effectLst/>
                        </wps:spPr>
                        <wps:txbx>
                          <w:txbxContent>
                            <w:p>
                              <w:pPr>
                                <w:spacing w:line="240" w:lineRule="auto"/>
                                <w:ind w:firstLine="0" w:firstLineChars="0"/>
                                <w:jc w:val="center"/>
                                <w:rPr>
                                  <w:szCs w:val="28"/>
                                </w:rPr>
                              </w:pPr>
                              <w:r>
                                <w:rPr>
                                  <w:rFonts w:hint="eastAsia"/>
                                  <w:szCs w:val="28"/>
                                </w:rPr>
                                <w:t>处理排水至小溪沟，最后汇入诸佛江</w:t>
                              </w:r>
                            </w:p>
                          </w:txbxContent>
                        </wps:txbx>
                        <wps:bodyPr rot="0" vert="horz" wrap="square" lIns="0" tIns="38851" rIns="0" bIns="38851" anchor="t" anchorCtr="0" upright="1">
                          <a:noAutofit/>
                        </wps:bodyPr>
                      </wps:wsp>
                      <wps:wsp>
                        <wps:cNvPr id="17" name="自选图形 1430"/>
                        <wps:cNvCnPr>
                          <a:cxnSpLocks noChangeShapeType="1"/>
                        </wps:cNvCnPr>
                        <wps:spPr bwMode="auto">
                          <a:xfrm flipH="1">
                            <a:off x="2063360" y="1023459"/>
                            <a:ext cx="6468" cy="436582"/>
                          </a:xfrm>
                          <a:prstGeom prst="straightConnector1">
                            <a:avLst/>
                          </a:prstGeom>
                          <a:noFill/>
                          <a:ln w="9525">
                            <a:solidFill>
                              <a:srgbClr val="000000"/>
                            </a:solidFill>
                            <a:round/>
                            <a:tailEnd type="triangle" w="med" len="med"/>
                          </a:ln>
                          <a:effectLst/>
                        </wps:spPr>
                        <wps:bodyPr/>
                      </wps:wsp>
                      <wps:wsp>
                        <wps:cNvPr id="18" name="文本框 1435"/>
                        <wps:cNvSpPr txBox="1">
                          <a:spLocks noChangeArrowheads="1"/>
                        </wps:cNvSpPr>
                        <wps:spPr bwMode="auto">
                          <a:xfrm>
                            <a:off x="205366" y="3648605"/>
                            <a:ext cx="975083" cy="301603"/>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除磷剂</w:t>
                              </w:r>
                            </w:p>
                          </w:txbxContent>
                        </wps:txbx>
                        <wps:bodyPr rot="0" vert="horz" wrap="square" lIns="0" tIns="38851" rIns="0" bIns="38851" anchor="t" anchorCtr="0" upright="1">
                          <a:noAutofit/>
                        </wps:bodyPr>
                      </wps:wsp>
                      <wps:wsp>
                        <wps:cNvPr id="19" name="自选图形 1437"/>
                        <wps:cNvCnPr>
                          <a:cxnSpLocks noChangeShapeType="1"/>
                        </wps:cNvCnPr>
                        <wps:spPr bwMode="auto">
                          <a:xfrm flipH="1">
                            <a:off x="3646455" y="3958796"/>
                            <a:ext cx="18866" cy="1269320"/>
                          </a:xfrm>
                          <a:prstGeom prst="straightConnector1">
                            <a:avLst/>
                          </a:prstGeom>
                          <a:noFill/>
                          <a:ln w="9525">
                            <a:solidFill>
                              <a:srgbClr val="000000"/>
                            </a:solidFill>
                            <a:prstDash val="dash"/>
                            <a:round/>
                            <a:tailEnd type="triangle" w="med" len="med"/>
                          </a:ln>
                          <a:effectLst/>
                        </wps:spPr>
                        <wps:bodyPr/>
                      </wps:wsp>
                      <wps:wsp>
                        <wps:cNvPr id="20" name="文本框 1443"/>
                        <wps:cNvSpPr txBox="1">
                          <a:spLocks noChangeArrowheads="1"/>
                        </wps:cNvSpPr>
                        <wps:spPr bwMode="auto">
                          <a:xfrm>
                            <a:off x="3026585" y="5228543"/>
                            <a:ext cx="1163200" cy="279802"/>
                          </a:xfrm>
                          <a:prstGeom prst="rect">
                            <a:avLst/>
                          </a:prstGeom>
                          <a:solidFill>
                            <a:srgbClr val="FFFFFF"/>
                          </a:solidFill>
                          <a:ln w="9525" cap="rnd">
                            <a:solidFill>
                              <a:srgbClr val="000000"/>
                            </a:solidFill>
                            <a:prstDash val="sysDot"/>
                            <a:miter lim="800000"/>
                          </a:ln>
                          <a:effectLst/>
                        </wps:spPr>
                        <wps:txbx>
                          <w:txbxContent>
                            <w:p>
                              <w:pPr>
                                <w:spacing w:line="240" w:lineRule="auto"/>
                                <w:ind w:firstLine="0" w:firstLineChars="0"/>
                                <w:jc w:val="center"/>
                                <w:rPr>
                                  <w:szCs w:val="28"/>
                                </w:rPr>
                              </w:pPr>
                              <w:r>
                                <w:rPr>
                                  <w:rFonts w:hint="eastAsia"/>
                                  <w:szCs w:val="28"/>
                                </w:rPr>
                                <w:t>干泥外运处置</w:t>
                              </w:r>
                            </w:p>
                          </w:txbxContent>
                        </wps:txbx>
                        <wps:bodyPr rot="0" vert="horz" wrap="square" lIns="0" tIns="38851" rIns="0" bIns="38851" anchor="t" anchorCtr="0" upright="1">
                          <a:noAutofit/>
                        </wps:bodyPr>
                      </wps:wsp>
                      <wps:wsp>
                        <wps:cNvPr id="21" name="自选图形 1444"/>
                        <wps:cNvCnPr>
                          <a:cxnSpLocks noChangeShapeType="1"/>
                        </wps:cNvCnPr>
                        <wps:spPr bwMode="auto">
                          <a:xfrm>
                            <a:off x="2960285" y="825111"/>
                            <a:ext cx="360603" cy="539"/>
                          </a:xfrm>
                          <a:prstGeom prst="straightConnector1">
                            <a:avLst/>
                          </a:prstGeom>
                          <a:noFill/>
                          <a:ln w="9525">
                            <a:solidFill>
                              <a:srgbClr val="000000"/>
                            </a:solidFill>
                            <a:prstDash val="dash"/>
                            <a:round/>
                            <a:tailEnd type="triangle" w="med" len="med"/>
                          </a:ln>
                          <a:effectLst/>
                        </wps:spPr>
                        <wps:bodyPr/>
                      </wps:wsp>
                      <wps:wsp>
                        <wps:cNvPr id="22" name="文本框 1445"/>
                        <wps:cNvSpPr txBox="1">
                          <a:spLocks noChangeArrowheads="1"/>
                        </wps:cNvSpPr>
                        <wps:spPr bwMode="auto">
                          <a:xfrm>
                            <a:off x="3320888" y="731519"/>
                            <a:ext cx="1060787" cy="292401"/>
                          </a:xfrm>
                          <a:prstGeom prst="rect">
                            <a:avLst/>
                          </a:prstGeom>
                          <a:solidFill>
                            <a:srgbClr val="FFFFFF"/>
                          </a:solidFill>
                          <a:ln w="9525" cap="rnd">
                            <a:solidFill>
                              <a:srgbClr val="000000"/>
                            </a:solidFill>
                            <a:prstDash val="sysDot"/>
                            <a:miter lim="800000"/>
                          </a:ln>
                          <a:effectLst/>
                        </wps:spPr>
                        <wps:txbx>
                          <w:txbxContent>
                            <w:p>
                              <w:pPr>
                                <w:spacing w:line="240" w:lineRule="auto"/>
                                <w:ind w:firstLine="0" w:firstLineChars="0"/>
                                <w:jc w:val="center"/>
                                <w:rPr>
                                  <w:szCs w:val="28"/>
                                </w:rPr>
                              </w:pPr>
                              <w:r>
                                <w:rPr>
                                  <w:rFonts w:hint="eastAsia"/>
                                  <w:szCs w:val="28"/>
                                </w:rPr>
                                <w:t>栅渣外运处置</w:t>
                              </w:r>
                            </w:p>
                          </w:txbxContent>
                        </wps:txbx>
                        <wps:bodyPr rot="0" vert="horz" wrap="square" lIns="0" tIns="38851" rIns="0" bIns="38851" anchor="t" anchorCtr="0" upright="1">
                          <a:noAutofit/>
                        </wps:bodyPr>
                      </wps:wsp>
                      <wps:wsp>
                        <wps:cNvPr id="23" name="文本框 1446"/>
                        <wps:cNvSpPr txBox="1">
                          <a:spLocks noChangeArrowheads="1"/>
                        </wps:cNvSpPr>
                        <wps:spPr bwMode="auto">
                          <a:xfrm>
                            <a:off x="1472596" y="4395589"/>
                            <a:ext cx="1163200" cy="293454"/>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消毒计量排放渠</w:t>
                              </w:r>
                            </w:p>
                          </w:txbxContent>
                        </wps:txbx>
                        <wps:bodyPr rot="0" vert="horz" wrap="square" lIns="0" tIns="38851" rIns="0" bIns="38851" anchor="t" anchorCtr="0" upright="1">
                          <a:noAutofit/>
                        </wps:bodyPr>
                      </wps:wsp>
                      <wps:wsp>
                        <wps:cNvPr id="24" name="自选图形 1447"/>
                        <wps:cNvCnPr>
                          <a:cxnSpLocks noChangeShapeType="1"/>
                        </wps:cNvCnPr>
                        <wps:spPr bwMode="auto">
                          <a:xfrm>
                            <a:off x="2074140" y="4719463"/>
                            <a:ext cx="2156" cy="436582"/>
                          </a:xfrm>
                          <a:prstGeom prst="straightConnector1">
                            <a:avLst/>
                          </a:prstGeom>
                          <a:noFill/>
                          <a:ln w="9525">
                            <a:solidFill>
                              <a:srgbClr val="000000"/>
                            </a:solidFill>
                            <a:round/>
                            <a:tailEnd type="triangle" w="med" len="med"/>
                          </a:ln>
                          <a:effectLst/>
                        </wps:spPr>
                        <wps:bodyPr/>
                      </wps:wsp>
                      <wps:wsp>
                        <wps:cNvPr id="25" name="自选图形 1448"/>
                        <wps:cNvCnPr>
                          <a:cxnSpLocks noChangeShapeType="1"/>
                        </wps:cNvCnPr>
                        <wps:spPr bwMode="auto">
                          <a:xfrm>
                            <a:off x="3862601" y="1350087"/>
                            <a:ext cx="0" cy="2158114"/>
                          </a:xfrm>
                          <a:prstGeom prst="straightConnector1">
                            <a:avLst/>
                          </a:prstGeom>
                          <a:noFill/>
                          <a:ln w="9525">
                            <a:solidFill>
                              <a:srgbClr val="000000"/>
                            </a:solidFill>
                            <a:prstDash val="dash"/>
                            <a:round/>
                            <a:tailEnd type="triangle" w="med" len="med"/>
                          </a:ln>
                          <a:effectLst/>
                        </wps:spPr>
                        <wps:bodyPr/>
                      </wps:wsp>
                      <wps:wsp>
                        <wps:cNvPr id="26" name="自选图形 1449"/>
                        <wps:cNvCnPr>
                          <a:cxnSpLocks noChangeShapeType="1"/>
                        </wps:cNvCnPr>
                        <wps:spPr bwMode="auto">
                          <a:xfrm>
                            <a:off x="2750608" y="1328528"/>
                            <a:ext cx="1140023" cy="539"/>
                          </a:xfrm>
                          <a:prstGeom prst="straightConnector1">
                            <a:avLst/>
                          </a:prstGeom>
                          <a:noFill/>
                          <a:ln w="9525">
                            <a:solidFill>
                              <a:srgbClr val="000000"/>
                            </a:solidFill>
                            <a:prstDash val="dash"/>
                            <a:round/>
                          </a:ln>
                          <a:effectLst/>
                        </wps:spPr>
                        <wps:bodyPr/>
                      </wps:wsp>
                      <wps:wsp>
                        <wps:cNvPr id="27" name="自选图形 1450"/>
                        <wps:cNvCnPr>
                          <a:cxnSpLocks noChangeShapeType="1"/>
                        </wps:cNvCnPr>
                        <wps:spPr bwMode="auto">
                          <a:xfrm>
                            <a:off x="2750069" y="1034778"/>
                            <a:ext cx="539" cy="294288"/>
                          </a:xfrm>
                          <a:prstGeom prst="straightConnector1">
                            <a:avLst/>
                          </a:prstGeom>
                          <a:noFill/>
                          <a:ln w="9525">
                            <a:solidFill>
                              <a:srgbClr val="000000"/>
                            </a:solidFill>
                            <a:prstDash val="dash"/>
                            <a:round/>
                          </a:ln>
                          <a:effectLst/>
                        </wps:spPr>
                        <wps:bodyPr/>
                      </wps:wsp>
                      <wps:wsp>
                        <wps:cNvPr id="28" name="文本框 1441"/>
                        <wps:cNvSpPr txBox="1">
                          <a:spLocks noChangeArrowheads="1"/>
                        </wps:cNvSpPr>
                        <wps:spPr bwMode="auto">
                          <a:xfrm>
                            <a:off x="2960285" y="3620753"/>
                            <a:ext cx="1163200" cy="314824"/>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污泥干化池</w:t>
                              </w:r>
                            </w:p>
                          </w:txbxContent>
                        </wps:txbx>
                        <wps:bodyPr rot="0" vert="horz" wrap="square" lIns="0" tIns="38851" rIns="0" bIns="38851" anchor="t" anchorCtr="0" upright="1">
                          <a:noAutofit/>
                        </wps:bodyPr>
                      </wps:wsp>
                      <wps:wsp>
                        <wps:cNvPr id="29" name="自选图形 1436"/>
                        <wps:cNvCnPr>
                          <a:cxnSpLocks noChangeShapeType="1"/>
                        </wps:cNvCnPr>
                        <wps:spPr bwMode="auto">
                          <a:xfrm>
                            <a:off x="606395" y="4578095"/>
                            <a:ext cx="875365" cy="539"/>
                          </a:xfrm>
                          <a:prstGeom prst="straightConnector1">
                            <a:avLst/>
                          </a:prstGeom>
                          <a:noFill/>
                          <a:ln w="9525">
                            <a:solidFill>
                              <a:srgbClr val="000000"/>
                            </a:solidFill>
                            <a:round/>
                            <a:tailEnd type="triangle" w="med" len="med"/>
                          </a:ln>
                          <a:effectLst/>
                        </wps:spPr>
                        <wps:bodyPr/>
                      </wps:wsp>
                      <wps:wsp>
                        <wps:cNvPr id="30" name="文本框 1435"/>
                        <wps:cNvSpPr txBox="1">
                          <a:spLocks noChangeArrowheads="1"/>
                        </wps:cNvSpPr>
                        <wps:spPr bwMode="auto">
                          <a:xfrm>
                            <a:off x="205366" y="4370797"/>
                            <a:ext cx="975083" cy="274355"/>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消毒剂</w:t>
                              </w:r>
                            </w:p>
                          </w:txbxContent>
                        </wps:txbx>
                        <wps:bodyPr rot="0" vert="horz" wrap="square" lIns="0" tIns="38851" rIns="0" bIns="38851" anchor="t" anchorCtr="0" upright="1">
                          <a:noAutofit/>
                        </wps:bodyPr>
                      </wps:wsp>
                      <wps:wsp>
                        <wps:cNvPr id="31" name="文本框 1425"/>
                        <wps:cNvSpPr txBox="1">
                          <a:spLocks noChangeArrowheads="1"/>
                        </wps:cNvSpPr>
                        <wps:spPr bwMode="auto">
                          <a:xfrm>
                            <a:off x="1472596" y="1993641"/>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缺氧池</w:t>
                              </w:r>
                            </w:p>
                            <w:p>
                              <w:pPr>
                                <w:spacing w:line="240" w:lineRule="auto"/>
                                <w:ind w:firstLine="0" w:firstLineChars="0"/>
                                <w:jc w:val="center"/>
                                <w:rPr>
                                  <w:szCs w:val="28"/>
                                </w:rPr>
                              </w:pPr>
                            </w:p>
                          </w:txbxContent>
                        </wps:txbx>
                        <wps:bodyPr rot="0" vert="horz" wrap="square" lIns="0" tIns="38851" rIns="0" bIns="38851" anchor="t" anchorCtr="0" upright="1">
                          <a:noAutofit/>
                        </wps:bodyPr>
                      </wps:wsp>
                      <wps:wsp>
                        <wps:cNvPr id="32" name="文本框 1425"/>
                        <wps:cNvSpPr txBox="1">
                          <a:spLocks noChangeArrowheads="1"/>
                        </wps:cNvSpPr>
                        <wps:spPr bwMode="auto">
                          <a:xfrm>
                            <a:off x="1481760" y="2540715"/>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好氧池</w:t>
                              </w:r>
                            </w:p>
                            <w:p>
                              <w:pPr>
                                <w:spacing w:line="240" w:lineRule="auto"/>
                                <w:ind w:firstLine="0" w:firstLineChars="0"/>
                                <w:rPr>
                                  <w:szCs w:val="28"/>
                                </w:rPr>
                              </w:pPr>
                            </w:p>
                          </w:txbxContent>
                        </wps:txbx>
                        <wps:bodyPr rot="0" vert="horz" wrap="square" lIns="0" tIns="38851" rIns="0" bIns="38851" anchor="t" anchorCtr="0" upright="1">
                          <a:noAutofit/>
                        </wps:bodyPr>
                      </wps:wsp>
                      <wps:wsp>
                        <wps:cNvPr id="33" name="文本框 1425"/>
                        <wps:cNvSpPr txBox="1">
                          <a:spLocks noChangeArrowheads="1"/>
                        </wps:cNvSpPr>
                        <wps:spPr bwMode="auto">
                          <a:xfrm>
                            <a:off x="1472596" y="3122824"/>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静沉区</w:t>
                              </w:r>
                            </w:p>
                          </w:txbxContent>
                        </wps:txbx>
                        <wps:bodyPr rot="0" vert="horz" wrap="square" lIns="0" tIns="38851" rIns="0" bIns="38851" anchor="t" anchorCtr="0" upright="1">
                          <a:noAutofit/>
                        </wps:bodyPr>
                      </wps:wsp>
                      <wps:wsp>
                        <wps:cNvPr id="34" name="自选图形 28"/>
                        <wps:cNvCnPr>
                          <a:cxnSpLocks noChangeShapeType="1"/>
                        </wps:cNvCnPr>
                        <wps:spPr bwMode="auto">
                          <a:xfrm flipH="1">
                            <a:off x="2107559" y="1733309"/>
                            <a:ext cx="8085" cy="260332"/>
                          </a:xfrm>
                          <a:prstGeom prst="straightConnector1">
                            <a:avLst/>
                          </a:prstGeom>
                          <a:noFill/>
                          <a:ln w="9525">
                            <a:solidFill>
                              <a:srgbClr val="000000"/>
                            </a:solidFill>
                            <a:round/>
                            <a:tailEnd type="triangle" w="med" len="med"/>
                          </a:ln>
                          <a:effectLst/>
                        </wps:spPr>
                        <wps:bodyPr/>
                      </wps:wsp>
                      <wps:wsp>
                        <wps:cNvPr id="35" name="自选图形 29"/>
                        <wps:cNvCnPr>
                          <a:cxnSpLocks noChangeShapeType="1"/>
                        </wps:cNvCnPr>
                        <wps:spPr bwMode="auto">
                          <a:xfrm flipH="1">
                            <a:off x="2115645" y="2266908"/>
                            <a:ext cx="8085" cy="260332"/>
                          </a:xfrm>
                          <a:prstGeom prst="straightConnector1">
                            <a:avLst/>
                          </a:prstGeom>
                          <a:noFill/>
                          <a:ln w="9525">
                            <a:solidFill>
                              <a:srgbClr val="000000"/>
                            </a:solidFill>
                            <a:round/>
                            <a:tailEnd type="triangle" w="med" len="med"/>
                          </a:ln>
                          <a:effectLst/>
                        </wps:spPr>
                        <wps:bodyPr/>
                      </wps:wsp>
                      <wps:wsp>
                        <wps:cNvPr id="36" name="自选图形 30"/>
                        <wps:cNvCnPr>
                          <a:cxnSpLocks noChangeShapeType="1"/>
                        </wps:cNvCnPr>
                        <wps:spPr bwMode="auto">
                          <a:xfrm flipH="1">
                            <a:off x="2123730" y="2813983"/>
                            <a:ext cx="8085" cy="260332"/>
                          </a:xfrm>
                          <a:prstGeom prst="straightConnector1">
                            <a:avLst/>
                          </a:prstGeom>
                          <a:noFill/>
                          <a:ln w="9525">
                            <a:solidFill>
                              <a:srgbClr val="000000"/>
                            </a:solidFill>
                            <a:round/>
                            <a:tailEnd type="triangle" w="med" len="med"/>
                          </a:ln>
                          <a:effectLst/>
                        </wps:spPr>
                        <wps:bodyPr/>
                      </wps:wsp>
                      <wps:wsp>
                        <wps:cNvPr id="37" name="自选图形 31"/>
                        <wps:cNvCnPr>
                          <a:cxnSpLocks noChangeShapeType="1"/>
                        </wps:cNvCnPr>
                        <wps:spPr bwMode="auto">
                          <a:xfrm flipH="1">
                            <a:off x="2123730" y="3396091"/>
                            <a:ext cx="8085" cy="260332"/>
                          </a:xfrm>
                          <a:prstGeom prst="straightConnector1">
                            <a:avLst/>
                          </a:prstGeom>
                          <a:noFill/>
                          <a:ln w="9525">
                            <a:solidFill>
                              <a:srgbClr val="000000"/>
                            </a:solidFill>
                            <a:round/>
                            <a:tailEnd type="triangle" w="med" len="med"/>
                          </a:ln>
                          <a:effectLst/>
                        </wps:spPr>
                        <wps:bodyPr/>
                      </wps:wsp>
                      <wps:wsp>
                        <wps:cNvPr id="38" name="自选图形 1436"/>
                        <wps:cNvCnPr>
                          <a:cxnSpLocks noChangeShapeType="1"/>
                        </wps:cNvCnPr>
                        <wps:spPr bwMode="auto">
                          <a:xfrm>
                            <a:off x="2076296" y="3855310"/>
                            <a:ext cx="875365" cy="539"/>
                          </a:xfrm>
                          <a:prstGeom prst="straightConnector1">
                            <a:avLst/>
                          </a:prstGeom>
                          <a:noFill/>
                          <a:ln w="9525">
                            <a:solidFill>
                              <a:srgbClr val="000000"/>
                            </a:solidFill>
                            <a:round/>
                            <a:tailEnd type="triangle" w="med" len="med"/>
                          </a:ln>
                          <a:effectLst/>
                        </wps:spPr>
                        <wps:bodyPr/>
                      </wps:wsp>
                      <wps:wsp>
                        <wps:cNvPr id="39" name="文本框 1425"/>
                        <wps:cNvSpPr txBox="1">
                          <a:spLocks noChangeArrowheads="1"/>
                        </wps:cNvSpPr>
                        <wps:spPr bwMode="auto">
                          <a:xfrm>
                            <a:off x="1472596" y="3686068"/>
                            <a:ext cx="1269387" cy="273268"/>
                          </a:xfrm>
                          <a:prstGeom prst="rect">
                            <a:avLst/>
                          </a:prstGeom>
                          <a:solidFill>
                            <a:srgbClr val="FFFFFF"/>
                          </a:solidFill>
                          <a:ln w="9525">
                            <a:solidFill>
                              <a:srgbClr val="000000"/>
                            </a:solidFill>
                            <a:miter lim="800000"/>
                          </a:ln>
                          <a:effectLst/>
                        </wps:spPr>
                        <wps:txbx>
                          <w:txbxContent>
                            <w:p>
                              <w:pPr>
                                <w:spacing w:line="240" w:lineRule="auto"/>
                                <w:ind w:firstLine="0" w:firstLineChars="0"/>
                                <w:jc w:val="center"/>
                                <w:rPr>
                                  <w:szCs w:val="28"/>
                                </w:rPr>
                              </w:pPr>
                              <w:r>
                                <w:rPr>
                                  <w:rFonts w:hint="eastAsia"/>
                                  <w:szCs w:val="28"/>
                                </w:rPr>
                                <w:t>混凝沉淀池</w:t>
                              </w:r>
                            </w:p>
                          </w:txbxContent>
                        </wps:txbx>
                        <wps:bodyPr rot="0" vert="horz" wrap="square" lIns="0" tIns="38851" rIns="0" bIns="38851" anchor="t" anchorCtr="0" upright="1">
                          <a:noAutofit/>
                        </wps:bodyPr>
                      </wps:wsp>
                      <wps:wsp>
                        <wps:cNvPr id="40" name="自选图形 1449"/>
                        <wps:cNvCnPr>
                          <a:cxnSpLocks noChangeShapeType="1"/>
                        </wps:cNvCnPr>
                        <wps:spPr bwMode="auto">
                          <a:xfrm flipV="1">
                            <a:off x="2773785" y="1562988"/>
                            <a:ext cx="832782" cy="3234"/>
                          </a:xfrm>
                          <a:prstGeom prst="straightConnector1">
                            <a:avLst/>
                          </a:prstGeom>
                          <a:noFill/>
                          <a:ln w="9525">
                            <a:solidFill>
                              <a:srgbClr val="000000"/>
                            </a:solidFill>
                            <a:prstDash val="dash"/>
                            <a:round/>
                          </a:ln>
                          <a:effectLst/>
                        </wps:spPr>
                        <wps:bodyPr/>
                      </wps:wsp>
                      <wps:wsp>
                        <wps:cNvPr id="41" name="自选图形 1449"/>
                        <wps:cNvCnPr>
                          <a:cxnSpLocks noChangeShapeType="1"/>
                        </wps:cNvCnPr>
                        <wps:spPr bwMode="auto">
                          <a:xfrm flipV="1">
                            <a:off x="2759232" y="2122998"/>
                            <a:ext cx="825775" cy="0"/>
                          </a:xfrm>
                          <a:prstGeom prst="straightConnector1">
                            <a:avLst/>
                          </a:prstGeom>
                          <a:noFill/>
                          <a:ln w="9525">
                            <a:solidFill>
                              <a:srgbClr val="000000"/>
                            </a:solidFill>
                            <a:prstDash val="dash"/>
                            <a:round/>
                          </a:ln>
                          <a:effectLst/>
                        </wps:spPr>
                        <wps:bodyPr/>
                      </wps:wsp>
                      <wps:wsp>
                        <wps:cNvPr id="43" name="自选图形 1449"/>
                        <wps:cNvCnPr>
                          <a:cxnSpLocks noChangeShapeType="1"/>
                        </wps:cNvCnPr>
                        <wps:spPr bwMode="auto">
                          <a:xfrm flipV="1">
                            <a:off x="2751686" y="2701873"/>
                            <a:ext cx="825775" cy="0"/>
                          </a:xfrm>
                          <a:prstGeom prst="straightConnector1">
                            <a:avLst/>
                          </a:prstGeom>
                          <a:noFill/>
                          <a:ln w="9525">
                            <a:solidFill>
                              <a:srgbClr val="000000"/>
                            </a:solidFill>
                            <a:prstDash val="dash"/>
                            <a:round/>
                          </a:ln>
                          <a:effectLst/>
                        </wps:spPr>
                        <wps:bodyPr/>
                      </wps:wsp>
                      <wps:wsp>
                        <wps:cNvPr id="44" name="自选图形 1449"/>
                        <wps:cNvCnPr>
                          <a:cxnSpLocks noChangeShapeType="1"/>
                        </wps:cNvCnPr>
                        <wps:spPr bwMode="auto">
                          <a:xfrm flipV="1">
                            <a:off x="2759232" y="3185885"/>
                            <a:ext cx="825775" cy="0"/>
                          </a:xfrm>
                          <a:prstGeom prst="straightConnector1">
                            <a:avLst/>
                          </a:prstGeom>
                          <a:noFill/>
                          <a:ln w="9525">
                            <a:solidFill>
                              <a:srgbClr val="000000"/>
                            </a:solidFill>
                            <a:prstDash val="dash"/>
                            <a:round/>
                          </a:ln>
                          <a:effectLst/>
                        </wps:spPr>
                        <wps:bodyPr/>
                      </wps:wsp>
                      <wps:wsp>
                        <wps:cNvPr id="45" name="自选图形 1448"/>
                        <wps:cNvCnPr>
                          <a:cxnSpLocks noChangeShapeType="1"/>
                        </wps:cNvCnPr>
                        <wps:spPr bwMode="auto">
                          <a:xfrm>
                            <a:off x="3609263" y="1551669"/>
                            <a:ext cx="11319" cy="1957071"/>
                          </a:xfrm>
                          <a:prstGeom prst="straightConnector1">
                            <a:avLst/>
                          </a:prstGeom>
                          <a:noFill/>
                          <a:ln w="9525">
                            <a:solidFill>
                              <a:srgbClr val="000000"/>
                            </a:solidFill>
                            <a:prstDash val="dash"/>
                            <a:round/>
                            <a:tailEnd type="triangle" w="med" len="med"/>
                          </a:ln>
                          <a:effectLst/>
                        </wps:spPr>
                        <wps:bodyPr/>
                      </wps:wsp>
                      <wps:wsp>
                        <wps:cNvPr id="46" name="文本框 54"/>
                        <wps:cNvSpPr txBox="1">
                          <a:spLocks noChangeArrowheads="1"/>
                        </wps:cNvSpPr>
                        <wps:spPr bwMode="auto">
                          <a:xfrm>
                            <a:off x="2634180" y="1866978"/>
                            <a:ext cx="933579" cy="305068"/>
                          </a:xfrm>
                          <a:prstGeom prst="rect">
                            <a:avLst/>
                          </a:prstGeom>
                          <a:solidFill>
                            <a:srgbClr val="FFFFFF">
                              <a:alpha val="0"/>
                            </a:srgbClr>
                          </a:solidFill>
                          <a:ln>
                            <a:noFill/>
                          </a:ln>
                          <a:effectLst/>
                        </wps:spPr>
                        <wps:txbx>
                          <w:txbxContent>
                            <w:p>
                              <w:pPr>
                                <w:pStyle w:val="26"/>
                                <w:adjustRightInd w:val="0"/>
                                <w:snapToGrid w:val="0"/>
                                <w:spacing w:before="0" w:beforeAutospacing="0" w:after="0" w:afterAutospacing="0"/>
                                <w:jc w:val="center"/>
                                <w:rPr>
                                  <w:rFonts w:hint="default"/>
                                  <w:sz w:val="21"/>
                                  <w:szCs w:val="21"/>
                                </w:rPr>
                              </w:pPr>
                              <w:r>
                                <w:rPr>
                                  <w:sz w:val="21"/>
                                  <w:szCs w:val="21"/>
                                </w:rPr>
                                <w:t>剩余污泥</w:t>
                              </w:r>
                            </w:p>
                          </w:txbxContent>
                        </wps:txbx>
                        <wps:bodyPr rot="0" vert="horz" wrap="square" lIns="91440" tIns="45720" rIns="91440" bIns="45720" anchor="t" anchorCtr="0" upright="1">
                          <a:noAutofit/>
                        </wps:bodyPr>
                      </wps:wsp>
                      <wps:wsp>
                        <wps:cNvPr id="53" name="文本框 55"/>
                        <wps:cNvSpPr txBox="1">
                          <a:spLocks noChangeArrowheads="1"/>
                        </wps:cNvSpPr>
                        <wps:spPr bwMode="auto">
                          <a:xfrm>
                            <a:off x="2640648" y="1374342"/>
                            <a:ext cx="927111" cy="305068"/>
                          </a:xfrm>
                          <a:prstGeom prst="rect">
                            <a:avLst/>
                          </a:prstGeom>
                          <a:solidFill>
                            <a:srgbClr val="FFFFFF">
                              <a:alpha val="0"/>
                            </a:srgbClr>
                          </a:solidFill>
                          <a:ln>
                            <a:noFill/>
                          </a:ln>
                          <a:effectLst/>
                        </wps:spPr>
                        <wps:txbx>
                          <w:txbxContent>
                            <w:p>
                              <w:pPr>
                                <w:pStyle w:val="26"/>
                                <w:adjustRightInd w:val="0"/>
                                <w:snapToGrid w:val="0"/>
                                <w:spacing w:before="0" w:beforeAutospacing="0" w:after="0" w:afterAutospacing="0"/>
                                <w:jc w:val="center"/>
                                <w:rPr>
                                  <w:rFonts w:hint="default"/>
                                  <w:sz w:val="21"/>
                                  <w:szCs w:val="21"/>
                                </w:rPr>
                              </w:pPr>
                              <w:r>
                                <w:rPr>
                                  <w:sz w:val="21"/>
                                  <w:szCs w:val="21"/>
                                </w:rPr>
                                <w:t>剩余污泥</w:t>
                              </w:r>
                            </w:p>
                          </w:txbxContent>
                        </wps:txbx>
                        <wps:bodyPr rot="0" vert="horz" wrap="square" lIns="91440" tIns="45720" rIns="91440" bIns="45720" anchor="t" anchorCtr="0" upright="1">
                          <a:noAutofit/>
                        </wps:bodyPr>
                      </wps:wsp>
                      <wps:wsp>
                        <wps:cNvPr id="54" name="文本框 56"/>
                        <wps:cNvSpPr txBox="1">
                          <a:spLocks noChangeArrowheads="1"/>
                        </wps:cNvSpPr>
                        <wps:spPr bwMode="auto">
                          <a:xfrm>
                            <a:off x="2560873" y="2957893"/>
                            <a:ext cx="927111" cy="305068"/>
                          </a:xfrm>
                          <a:prstGeom prst="rect">
                            <a:avLst/>
                          </a:prstGeom>
                          <a:solidFill>
                            <a:srgbClr val="FFFFFF">
                              <a:alpha val="0"/>
                            </a:srgbClr>
                          </a:solidFill>
                          <a:ln>
                            <a:noFill/>
                          </a:ln>
                          <a:effectLst/>
                        </wps:spPr>
                        <wps:txbx>
                          <w:txbxContent>
                            <w:p>
                              <w:pPr>
                                <w:pStyle w:val="26"/>
                                <w:adjustRightInd w:val="0"/>
                                <w:snapToGrid w:val="0"/>
                                <w:spacing w:before="0" w:beforeAutospacing="0" w:after="0" w:afterAutospacing="0"/>
                                <w:jc w:val="center"/>
                                <w:rPr>
                                  <w:rFonts w:hint="default"/>
                                  <w:sz w:val="21"/>
                                  <w:szCs w:val="21"/>
                                </w:rPr>
                              </w:pPr>
                              <w:r>
                                <w:rPr>
                                  <w:sz w:val="21"/>
                                  <w:szCs w:val="21"/>
                                </w:rPr>
                                <w:t>剩余污泥</w:t>
                              </w:r>
                            </w:p>
                          </w:txbxContent>
                        </wps:txbx>
                        <wps:bodyPr rot="0" vert="horz" wrap="square" lIns="91440" tIns="45720" rIns="91440" bIns="45720" anchor="t" anchorCtr="0" upright="1">
                          <a:noAutofit/>
                        </wps:bodyPr>
                      </wps:wsp>
                      <wps:wsp>
                        <wps:cNvPr id="55" name="文本框 57"/>
                        <wps:cNvSpPr txBox="1">
                          <a:spLocks noChangeArrowheads="1"/>
                        </wps:cNvSpPr>
                        <wps:spPr bwMode="auto">
                          <a:xfrm>
                            <a:off x="2537696" y="2481426"/>
                            <a:ext cx="927111" cy="305068"/>
                          </a:xfrm>
                          <a:prstGeom prst="rect">
                            <a:avLst/>
                          </a:prstGeom>
                          <a:solidFill>
                            <a:srgbClr val="FFFFFF">
                              <a:alpha val="0"/>
                            </a:srgbClr>
                          </a:solidFill>
                          <a:ln>
                            <a:noFill/>
                          </a:ln>
                          <a:effectLst/>
                        </wps:spPr>
                        <wps:txbx>
                          <w:txbxContent>
                            <w:p>
                              <w:pPr>
                                <w:pStyle w:val="26"/>
                                <w:adjustRightInd w:val="0"/>
                                <w:snapToGrid w:val="0"/>
                                <w:spacing w:before="0" w:beforeAutospacing="0" w:after="0" w:afterAutospacing="0"/>
                                <w:jc w:val="center"/>
                                <w:rPr>
                                  <w:rFonts w:hint="default"/>
                                  <w:sz w:val="21"/>
                                  <w:szCs w:val="21"/>
                                </w:rPr>
                              </w:pPr>
                              <w:r>
                                <w:rPr>
                                  <w:sz w:val="21"/>
                                  <w:szCs w:val="21"/>
                                </w:rPr>
                                <w:t>剩余污泥</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448.1pt;width:347.2pt;" coordsize="4409440,5690870" editas="canvas" o:gfxdata="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">
                <o:lock v:ext="edit" aspectratio="f"/>
                <v:shape id="_x0000_s1026" o:spid="_x0000_s1026" style="position:absolute;left:0;top:0;height:5690870;width:4409440;" filled="f" stroked="t" coordsize="21600,21600" o:gfxdata="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">
                  <v:fill on="f" focussize="0,0"/>
                  <v:stroke color="#000000" miterlimit="8" joinstyle="miter" dashstyle="1 1" endcap="round"/>
                  <v:imagedata o:title=""/>
                  <o:lock v:ext="edit" aspectratio="t"/>
                </v:shape>
                <v:shape id="自选图形 1432" o:spid="_x0000_s1026" o:spt="32" type="#_x0000_t32" style="position:absolute;left:2068750;top:3959335;height:436582;width:2156;" filled="f" stroked="t" coordsize="21600,21600" o:gfxdata="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6Df81wAAAAUBAAAPAAAAAAAAAAEAIAAAACIAAABkcnMv&#10;ZG93bnJldi54bWxQSwECFAAUAAAACACHTuJAdHNCCgQCAAC1AwAADgAAAAAAAAABACAAAAAmAQAA&#10;ZHJzL2Uyb0RvYy54bWxQSwUGAAAAAAYABgBZAQAAnAUAAAAA&#10;">
                  <v:fill on="f" focussize="0,0"/>
                  <v:stroke color="#000000" joinstyle="round" endarrow="block"/>
                  <v:imagedata o:title=""/>
                  <o:lock v:ext="edit" aspectratio="f"/>
                </v:shape>
                <v:shape id="自选图形 1436" o:spid="_x0000_s1026" o:spt="32" type="#_x0000_t32" style="position:absolute;left:606395;top:3855849;height:539;width:875365;" filled="f" stroked="t" coordsize="21600,21600" o:gfxdata="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zoN/zXAAAABQEAAA8AAAAAAAAAAQAgAAAAIgAAAGRycy9k&#10;b3ducmV2LnhtbFBLAQIUABQAAAAIAIdO4kB81/zIAwIAALMDAAAOAAAAAAAAAAEAIAAAACYBAABk&#10;cnMvZTJvRG9jLnhtbFBLBQYAAAAABgAGAFkBAACbBQAAAAA=&#10;">
                  <v:fill on="f" focussize="0,0"/>
                  <v:stroke color="#000000" joinstyle="round" endarrow="block"/>
                  <v:imagedata o:title=""/>
                  <o:lock v:ext="edit" aspectratio="f"/>
                </v:shape>
                <v:shape id="文本框 1422" o:spid="_x0000_s1026" o:spt="202" type="#_x0000_t202" style="position:absolute;left:1181477;top:694944;height:343087;width:1778759;"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tx5N9cAAAAFAQAADwAAAAAAAAABACAAAAAiAAAAZHJzL2Rvd25y&#10;ZXYueG1sUEsBAhQAFAAAAAgAh07iQITgSTM4AgAATgQAAA4AAAAAAAAAAQAgAAAAJgEAAGRycy9l&#10;Mm9Eb2MueG1sUEsFBgAAAAAGAAYAWQEAANAFA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格栅池</w:t>
                        </w:r>
                      </w:p>
                    </w:txbxContent>
                  </v:textbox>
                </v:shape>
                <v:shape id="自选图形 1423" o:spid="_x0000_s1026" o:spt="32" type="#_x0000_t32" style="position:absolute;left:2070906;top:279654;height:347109;width:1078;" filled="f" stroked="t" coordsize="21600,21600" o:gfxdata="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Og3/NcAAAAFAQAADwAAAAAAAAABACAAAAAiAAAAZHJzL2Rv&#10;d25yZXYueG1sUEsBAhQAFAAAAAgAh07iQPmTx3wCAgAAtAMAAA4AAAAAAAAAAQAgAAAAJgEAAGRy&#10;cy9lMm9Eb2MueG1sUEsFBgAAAAAGAAYAWQEAAJoFAAAAAA==&#10;">
                  <v:fill on="f" focussize="0,0"/>
                  <v:stroke color="#000000" joinstyle="round" endarrow="block"/>
                  <v:imagedata o:title=""/>
                  <o:lock v:ext="edit" aspectratio="f"/>
                </v:shape>
                <v:shape id="文本框 1424" o:spid="_x0000_s1026" o:spt="202" type="#_x0000_t202" style="position:absolute;left:1228954;top:43885;height:263347;width:1521000;" fillcolor="#FFFFFF" filled="t" stroked="t" coordsize="21600,21600" o:gfxdata="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88+CtYAAAAFAQAADwAAAAAAAAAB&#10;ACAAAAAiAAAAZHJzL2Rvd25yZXYueG1sUEsBAhQAFAAAAAgAh07iQNr0K8dLAgAAcQQAAA4AAAAA&#10;AAAAAQAgAAAAJQEAAGRycy9lMm9Eb2MueG1sUEsFBgAAAAAGAAYAWQEAAOIFAAAAAA==&#10;">
                  <v:fill on="t" focussize="0,0"/>
                  <v:stroke color="#000000" miterlimit="8" joinstyle="miter" dashstyle="1 1" endcap="round"/>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市政管网来生活污水</w:t>
                        </w:r>
                      </w:p>
                    </w:txbxContent>
                  </v:textbox>
                </v:shape>
                <v:shape id="文本框 1425" o:spid="_x0000_s1026" o:spt="202" type="#_x0000_t202" style="position:absolute;left:1480682;top:1460041;height:273268;width:1269387;"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tx5N9cAAAAFAQAADwAAAAAAAAABACAAAAAiAAAAZHJzL2Rvd25yZXYu&#10;eG1sUEsBAhQAFAAAAAgAh07iQETtd501AgAATwQAAA4AAAAAAAAAAQAgAAAAJgEAAGRycy9lMm9E&#10;b2MueG1sUEsFBgAAAAAGAAYAWQEAAM0FA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调节池</w:t>
                        </w:r>
                      </w:p>
                    </w:txbxContent>
                  </v:textbox>
                </v:shape>
                <v:shape id="文本框 1429" o:spid="_x0000_s1026" o:spt="202" type="#_x0000_t202" style="position:absolute;left:1115228;top:5175450;height:442624;width:1845058;" fillcolor="#FFFFFF" filled="t" stroked="t" coordsize="21600,21600" o:gfxdata="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PPgrWAAAABQEAAA8AAAAAAAAAAQAg&#10;AAAAIgAAAGRycy9kb3ducmV2LnhtbFBLAQIUABQAAAAIAIdO4kC/2FVdSQIAAHMEAAAOAAAAAAAA&#10;AAEAIAAAACUBAABkcnMvZTJvRG9jLnhtbFBLBQYAAAAABgAGAFkBAADgBQAAAAA=&#10;">
                  <v:fill on="t" focussize="0,0"/>
                  <v:stroke color="#000000" miterlimit="8" joinstyle="miter" dashstyle="1 1" endcap="round"/>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处理排水至小溪沟，最后汇入诸佛江</w:t>
                        </w:r>
                      </w:p>
                    </w:txbxContent>
                  </v:textbox>
                </v:shape>
                <v:shape id="自选图形 1430" o:spid="_x0000_s1026" o:spt="32" type="#_x0000_t32" style="position:absolute;left:2063360;top:1023459;flip:x;height:436582;width:6468;" filled="f" stroked="t" coordsize="21600,21600" o:gfxdata="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dB+C1wAAAAUBAAAPAAAAAAAAAAEAIAAAACIA&#10;AABkcnMvZG93bnJldi54bWxQSwECFAAUAAAACACHTuJAFJx6pwoCAAC/AwAADgAAAAAAAAABACAA&#10;AAAmAQAAZHJzL2Uyb0RvYy54bWxQSwUGAAAAAAYABgBZAQAAogUAAAAA&#10;">
                  <v:fill on="f" focussize="0,0"/>
                  <v:stroke color="#000000" joinstyle="round" endarrow="block"/>
                  <v:imagedata o:title=""/>
                  <o:lock v:ext="edit" aspectratio="f"/>
                </v:shape>
                <v:shape id="文本框 1435" o:spid="_x0000_s1026" o:spt="202" type="#_x0000_t202" style="position:absolute;left:205366;top:3648605;height:301603;width:975083;"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rceTfXAAAABQEAAA8AAAAAAAAAAQAgAAAAIgAAAGRycy9kb3ducmV2&#10;LnhtbFBLAQIUABQAAAAIAIdO4kA85xFxNgIAAE0EAAAOAAAAAAAAAAEAIAAAACYBAABkcnMvZTJv&#10;RG9jLnhtbFBLBQYAAAAABgAGAFkBAADOBQ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除磷剂</w:t>
                        </w:r>
                      </w:p>
                    </w:txbxContent>
                  </v:textbox>
                </v:shape>
                <v:shape id="自选图形 1437" o:spid="_x0000_s1026" o:spt="32" type="#_x0000_t32" style="position:absolute;left:3646455;top:3958796;flip:x;height:1269320;width:18866;" filled="f" stroked="t" coordsize="21600,21600" o:gfxdata="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ehVGXSAAAABQEAAA8AAAAAAAAA&#10;AQAgAAAAIgAAAGRycy9kb3ducmV2LnhtbFBLAQIUABQAAAAIAIdO4kDOxpXMFwIAANkDAAAOAAAA&#10;AAAAAAEAIAAAACEBAABkcnMvZTJvRG9jLnhtbFBLBQYAAAAABgAGAFkBAACqBQAAAAA=&#10;">
                  <v:fill on="f" focussize="0,0"/>
                  <v:stroke color="#000000" joinstyle="round" dashstyle="dash" endarrow="block"/>
                  <v:imagedata o:title=""/>
                  <o:lock v:ext="edit" aspectratio="f"/>
                </v:shape>
                <v:shape id="文本框 1443" o:spid="_x0000_s1026" o:spt="202" type="#_x0000_t202" style="position:absolute;left:3026585;top:5228543;height:279802;width:1163200;" fillcolor="#FFFFFF" filled="t" stroked="t" coordsize="21600,21600" o:gfxdata="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PPgrWAAAABQEAAA8AAAAAAAAA&#10;AQAgAAAAIgAAAGRycy9kb3ducmV2LnhtbFBLAQIUABQAAAAIAIdO4kD7PqpfTAIAAHMEAAAOAAAA&#10;AAAAAAEAIAAAACUBAABkcnMvZTJvRG9jLnhtbFBLBQYAAAAABgAGAFkBAADjBQAAAAA=&#10;">
                  <v:fill on="t" focussize="0,0"/>
                  <v:stroke color="#000000" miterlimit="8" joinstyle="miter" dashstyle="1 1" endcap="round"/>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干泥外运处置</w:t>
                        </w:r>
                      </w:p>
                    </w:txbxContent>
                  </v:textbox>
                </v:shape>
                <v:shape id="自选图形 1444" o:spid="_x0000_s1026" o:spt="32" type="#_x0000_t32" style="position:absolute;left:2960285;top:825111;height:539;width:360603;" filled="f" stroked="t" coordsize="21600,21600" o:gfxdata="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s3BAfTAAAABQEAAA8AAAAAAAAAAQAgAAAAIgAA&#10;AGRycy9kb3ducmV2LnhtbFBLAQIUABQAAAAIAIdO4kBu3ELYDQIAAMsDAAAOAAAAAAAAAAEAIAAA&#10;ACIBAABkcnMvZTJvRG9jLnhtbFBLBQYAAAAABgAGAFkBAAChBQAAAAA=&#10;">
                  <v:fill on="f" focussize="0,0"/>
                  <v:stroke color="#000000" joinstyle="round" dashstyle="dash" endarrow="block"/>
                  <v:imagedata o:title=""/>
                  <o:lock v:ext="edit" aspectratio="f"/>
                </v:shape>
                <v:shape id="文本框 1445" o:spid="_x0000_s1026" o:spt="202" type="#_x0000_t202" style="position:absolute;left:3320888;top:731519;height:292401;width:1060787;" fillcolor="#FFFFFF" filled="t" stroked="t" coordsize="21600,21600" o:gfxdata="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PPgrWAAAABQEAAA8AAAAAAAAA&#10;AQAgAAAAIgAAAGRycy9kb3ducmV2LnhtbFBLAQIUABQAAAAIAIdO4kClNRQBTAIAAHIEAAAOAAAA&#10;AAAAAAEAIAAAACUBAABkcnMvZTJvRG9jLnhtbFBLBQYAAAAABgAGAFkBAADjBQAAAAA=&#10;">
                  <v:fill on="t" focussize="0,0"/>
                  <v:stroke color="#000000" miterlimit="8" joinstyle="miter" dashstyle="1 1" endcap="round"/>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栅渣外运处置</w:t>
                        </w:r>
                      </w:p>
                    </w:txbxContent>
                  </v:textbox>
                </v:shape>
                <v:shape id="文本框 1446" o:spid="_x0000_s1026" o:spt="202" type="#_x0000_t202" style="position:absolute;left:1472596;top:4395589;height:293454;width:1163200;"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tx5N9cAAAAFAQAADwAAAAAAAAABACAAAAAiAAAAZHJzL2Rvd25y&#10;ZXYueG1sUEsBAhQAFAAAAAgAh07iQHkOfdk4AgAATwQAAA4AAAAAAAAAAQAgAAAAJgEAAGRycy9l&#10;Mm9Eb2MueG1sUEsFBgAAAAAGAAYAWQEAANAFA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消毒计量排放渠</w:t>
                        </w:r>
                      </w:p>
                    </w:txbxContent>
                  </v:textbox>
                </v:shape>
                <v:shape id="自选图形 1447" o:spid="_x0000_s1026" o:spt="32" type="#_x0000_t32" style="position:absolute;left:2074140;top:4719463;height:436582;width:2156;" filled="f" stroked="t" coordsize="21600,21600" o:gfxdata="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zoN/zXAAAABQEAAA8AAAAAAAAAAQAgAAAAIgAAAGRycy9k&#10;b3ducmV2LnhtbFBLAQIUABQAAAAIAIdO4kBietu1AwIAALUDAAAOAAAAAAAAAAEAIAAAACYBAABk&#10;cnMvZTJvRG9jLnhtbFBLBQYAAAAABgAGAFkBAACbBQAAAAA=&#10;">
                  <v:fill on="f" focussize="0,0"/>
                  <v:stroke color="#000000" joinstyle="round" endarrow="block"/>
                  <v:imagedata o:title=""/>
                  <o:lock v:ext="edit" aspectratio="f"/>
                </v:shape>
                <v:shape id="自选图形 1448" o:spid="_x0000_s1026" o:spt="32" type="#_x0000_t32" style="position:absolute;left:3862601;top:1350087;height:2158114;width:0;" filled="f" stroked="t" coordsize="21600,21600" o:gfxdata="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&#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NwQH0wAAAAUBAAAPAAAAAAAAAAEAIAAAACIAAABk&#10;cnMvZG93bnJldi54bWxQSwECFAAUAAAACACHTuJAVOaK9AsCAADLAwAADgAAAAAAAAABACAAAAAi&#10;AQAAZHJzL2Uyb0RvYy54bWxQSwUGAAAAAAYABgBZAQAAnwUAAAAA&#10;">
                  <v:fill on="f" focussize="0,0"/>
                  <v:stroke color="#000000" joinstyle="round" dashstyle="dash" endarrow="block"/>
                  <v:imagedata o:title=""/>
                  <o:lock v:ext="edit" aspectratio="f"/>
                </v:shape>
                <v:shape id="自选图形 1449" o:spid="_x0000_s1026" o:spt="32" type="#_x0000_t32" style="position:absolute;left:2750608;top:1328528;height:539;width:1140023;" filled="f" stroked="t" coordsize="21600,21600" o:gfxdata="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xjqnWAAAABQEAAA8AAAAAAAAAAQAgAAAAIgAAAGRycy9kb3ducmV2LnhtbFBLAQIU&#10;ABQAAAAIAIdO4kDIvwuW9QEAAJ8DAAAOAAAAAAAAAAEAIAAAACUBAABkcnMvZTJvRG9jLnhtbFBL&#10;BQYAAAAABgAGAFkBAACMBQAAAAA=&#10;">
                  <v:fill on="f" focussize="0,0"/>
                  <v:stroke color="#000000" joinstyle="round" dashstyle="dash"/>
                  <v:imagedata o:title=""/>
                  <o:lock v:ext="edit" aspectratio="f"/>
                </v:shape>
                <v:shape id="自选图形 1450" o:spid="_x0000_s1026" o:spt="32" type="#_x0000_t32" style="position:absolute;left:2750069;top:1034778;height:294288;width:539;" filled="f" stroked="t" coordsize="21600,21600" o:gfxdata="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MY6p1gAAAAUBAAAPAAAAAAAAAAEAIAAAACIAAABkcnMvZG93bnJldi54bWxQSwECFAAU&#10;AAAACACHTuJAMypCJ/MBAACeAwAADgAAAAAAAAABACAAAAAlAQAAZHJzL2Uyb0RvYy54bWxQSwUG&#10;AAAAAAYABgBZAQAAigUAAAAA&#10;">
                  <v:fill on="f" focussize="0,0"/>
                  <v:stroke color="#000000" joinstyle="round" dashstyle="dash"/>
                  <v:imagedata o:title=""/>
                  <o:lock v:ext="edit" aspectratio="f"/>
                </v:shape>
                <v:shape id="文本框 1441" o:spid="_x0000_s1026" o:spt="202" type="#_x0000_t202" style="position:absolute;left:2960285;top:3620753;height:314824;width:1163200;"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3Hk31wAAAAUBAAAPAAAAAAAAAAEAIAAAACIAAABkcnMvZG93bnJl&#10;di54bWxQSwECFAAUAAAACACHTuJA0qatIjcCAABPBAAADgAAAAAAAAABACAAAAAm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污泥干化池</w:t>
                        </w:r>
                      </w:p>
                    </w:txbxContent>
                  </v:textbox>
                </v:shape>
                <v:shape id="自选图形 1436" o:spid="_x0000_s1026" o:spt="32" type="#_x0000_t32" style="position:absolute;left:606395;top:4578095;height:539;width:875365;" filled="f" stroked="t" coordsize="21600,21600" o:gfxdata="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zoN/zXAAAABQEAAA8AAAAAAAAAAQAgAAAAIgAAAGRycy9k&#10;b3ducmV2LnhtbFBLAQIUABQAAAAIAIdO4kC8Mm7eAwIAALMDAAAOAAAAAAAAAAEAIAAAACYBAABk&#10;cnMvZTJvRG9jLnhtbFBLBQYAAAAABgAGAFkBAACbBQAAAAA=&#10;">
                  <v:fill on="f" focussize="0,0"/>
                  <v:stroke color="#000000" joinstyle="round" endarrow="block"/>
                  <v:imagedata o:title=""/>
                  <o:lock v:ext="edit" aspectratio="f"/>
                </v:shape>
                <v:shape id="文本框 1435" o:spid="_x0000_s1026" o:spt="202" type="#_x0000_t202" style="position:absolute;left:205366;top:4370797;height:274355;width:975083;"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3Hk31wAAAAUBAAAPAAAAAAAAAAEAIAAAACIAAABkcnMvZG93bnJl&#10;di54bWxQSwECFAAUAAAACACHTuJAEY8GbjcCAABNBAAADgAAAAAAAAABACAAAAAm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消毒剂</w:t>
                        </w:r>
                      </w:p>
                    </w:txbxContent>
                  </v:textbox>
                </v:shape>
                <v:shape id="文本框 1425" o:spid="_x0000_s1026" o:spt="202" type="#_x0000_t202" style="position:absolute;left:1472596;top:1993641;height:273268;width:1269387;"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3Hk31wAAAAUBAAAPAAAAAAAAAAEAIAAAACIAAABkcnMvZG93bnJl&#10;di54bWxQSwECFAAUAAAACACHTuJAGZPv7DcCAABPBAAADgAAAAAAAAABACAAAAAm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缺氧池</w:t>
                        </w:r>
                      </w:p>
                      <w:p>
                        <w:pPr>
                          <w:spacing w:line="240" w:lineRule="auto"/>
                          <w:ind w:firstLine="0" w:firstLineChars="0"/>
                          <w:jc w:val="center"/>
                          <w:rPr>
                            <w:szCs w:val="28"/>
                          </w:rPr>
                        </w:pPr>
                      </w:p>
                    </w:txbxContent>
                  </v:textbox>
                </v:shape>
                <v:shape id="文本框 1425" o:spid="_x0000_s1026" o:spt="202" type="#_x0000_t202" style="position:absolute;left:1481760;top:2540715;height:273268;width:1269387;"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3Hk31wAAAAUBAAAPAAAAAAAAAAEAIAAAACIAAABkcnMvZG93bnJl&#10;di54bWxQSwECFAAUAAAACACHTuJAYbTM6zcCAABPBAAADgAAAAAAAAABACAAAAAm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好氧池</w:t>
                        </w:r>
                      </w:p>
                      <w:p>
                        <w:pPr>
                          <w:spacing w:line="240" w:lineRule="auto"/>
                          <w:ind w:firstLine="0" w:firstLineChars="0"/>
                          <w:rPr>
                            <w:szCs w:val="28"/>
                          </w:rPr>
                        </w:pPr>
                      </w:p>
                    </w:txbxContent>
                  </v:textbox>
                </v:shape>
                <v:shape id="文本框 1425" o:spid="_x0000_s1026" o:spt="202" type="#_x0000_t202" style="position:absolute;left:1472596;top:3122824;height:273268;width:1269387;"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3Hk31wAAAAUBAAAPAAAAAAAAAAEAIAAAACIAAABkcnMvZG93bnJl&#10;di54bWxQSwECFAAUAAAACACHTuJAdETFLzcCAABPBAAADgAAAAAAAAABACAAAAAmAQAAZHJzL2Uy&#10;b0RvYy54bWxQSwUGAAAAAAYABgBZAQAAzwU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静沉区</w:t>
                        </w:r>
                      </w:p>
                    </w:txbxContent>
                  </v:textbox>
                </v:shape>
                <v:shape id="自选图形 28" o:spid="_x0000_s1026" o:spt="32" type="#_x0000_t32" style="position:absolute;left:2107559;top:1733309;flip:x;height:260332;width:8085;" filled="f" stroked="t" coordsize="21600,21600" o:gfxdata="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HQfgtcAAAAFAQAADwAAAAAAAAABACAAAAAiAAAA&#10;ZHJzL2Rvd25yZXYueG1sUEsBAhQAFAAAAAgAh07iQGcRVEQIAgAAvQMAAA4AAAAAAAAAAQAgAAAA&#10;JgEAAGRycy9lMm9Eb2MueG1sUEsFBgAAAAAGAAYAWQEAAKAFAAAAAA==&#10;">
                  <v:fill on="f" focussize="0,0"/>
                  <v:stroke color="#000000" joinstyle="round" endarrow="block"/>
                  <v:imagedata o:title=""/>
                  <o:lock v:ext="edit" aspectratio="f"/>
                </v:shape>
                <v:shape id="自选图形 29" o:spid="_x0000_s1026" o:spt="32" type="#_x0000_t32" style="position:absolute;left:2115645;top:2266908;flip:x;height:260332;width:8085;" filled="f" stroked="t" coordsize="21600,21600" o:gfxdata="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x0H4LXAAAABQEAAA8AAAAAAAAAAQAgAAAAIgAAAGRy&#10;cy9kb3ducmV2LnhtbFBLAQIUABQAAAAIAIdO4kBFMdAQBgIAAL0DAAAOAAAAAAAAAAEAIAAAACYB&#10;AABkcnMvZTJvRG9jLnhtbFBLBQYAAAAABgAGAFkBAACeBQAAAAA=&#10;">
                  <v:fill on="f" focussize="0,0"/>
                  <v:stroke color="#000000" joinstyle="round" endarrow="block"/>
                  <v:imagedata o:title=""/>
                  <o:lock v:ext="edit" aspectratio="f"/>
                </v:shape>
                <v:shape id="自选图形 30" o:spid="_x0000_s1026" o:spt="32" type="#_x0000_t32" style="position:absolute;left:2123730;top:2813983;flip:x;height:260332;width:8085;" filled="f" stroked="t" coordsize="21600,21600" o:gfxdata="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x0H4LXAAAABQEAAA8AAAAAAAAAAQAgAAAAIgAAAGRy&#10;cy9kb3ducmV2LnhtbFBLAQIUABQAAAAIAIdO4kCkzI2UBgIAAL0DAAAOAAAAAAAAAAEAIAAAACYB&#10;AABkcnMvZTJvRG9jLnhtbFBLBQYAAAAABgAGAFkBAACeBQAAAAA=&#10;">
                  <v:fill on="f" focussize="0,0"/>
                  <v:stroke color="#000000" joinstyle="round" endarrow="block"/>
                  <v:imagedata o:title=""/>
                  <o:lock v:ext="edit" aspectratio="f"/>
                </v:shape>
                <v:shape id="自选图形 31" o:spid="_x0000_s1026" o:spt="32" type="#_x0000_t32" style="position:absolute;left:2123730;top:3396091;flip:x;height:260332;width:8085;" filled="f" stroked="t" coordsize="21600,21600" o:gfxdata="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HQfgtcAAAAFAQAADwAAAAAAAAABACAAAAAiAAAA&#10;ZHJzL2Rvd25yZXYueG1sUEsBAhQAFAAAAAgAh07iQLGjm+UIAgAAvQMAAA4AAAAAAAAAAQAgAAAA&#10;JgEAAGRycy9lMm9Eb2MueG1sUEsFBgAAAAAGAAYAWQEAAKAFAAAAAA==&#10;">
                  <v:fill on="f" focussize="0,0"/>
                  <v:stroke color="#000000" joinstyle="round" endarrow="block"/>
                  <v:imagedata o:title=""/>
                  <o:lock v:ext="edit" aspectratio="f"/>
                </v:shape>
                <v:shape id="自选图形 1436" o:spid="_x0000_s1026" o:spt="32" type="#_x0000_t32" style="position:absolute;left:2076296;top:3855310;height:539;width:875365;" filled="f" stroked="t" coordsize="21600,21600" o:gfxdata="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Og3/NcAAAAFAQAADwAAAAAAAAABACAAAAAiAAAAZHJzL2Rv&#10;d25yZXYueG1sUEsBAhQAFAAAAAgAh07iQGqGxrgCAgAAtAMAAA4AAAAAAAAAAQAgAAAAJgEAAGRy&#10;cy9lMm9Eb2MueG1sUEsFBgAAAAAGAAYAWQEAAJoFAAAAAA==&#10;">
                  <v:fill on="f" focussize="0,0"/>
                  <v:stroke color="#000000" joinstyle="round" endarrow="block"/>
                  <v:imagedata o:title=""/>
                  <o:lock v:ext="edit" aspectratio="f"/>
                </v:shape>
                <v:shape id="文本框 1425" o:spid="_x0000_s1026" o:spt="202" type="#_x0000_t202" style="position:absolute;left:1472596;top:3686068;height:273268;width:1269387;" fillcolor="#FFFFFF" filled="t" stroked="t" coordsize="21600,21600" o:gfxdata="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rceTfXAAAABQEAAA8AAAAAAAAAAQAgAAAAIgAAAGRycy9kb3ducmV2&#10;LnhtbFBLAQIUABQAAAAIAIdO4kDA8d/HNgIAAE8EAAAOAAAAAAAAAAEAIAAAACYBAABkcnMvZTJv&#10;RG9jLnhtbFBLBQYAAAAABgAGAFkBAADOBQAAAAA=&#10;">
                  <v:fill on="t" focussize="0,0"/>
                  <v:stroke color="#000000" miterlimit="8" joinstyle="miter"/>
                  <v:imagedata o:title=""/>
                  <o:lock v:ext="edit" aspectratio="f"/>
                  <v:textbox inset="0mm,3.05913385826772pt,0mm,3.05913385826772pt">
                    <w:txbxContent>
                      <w:p>
                        <w:pPr>
                          <w:spacing w:line="240" w:lineRule="auto"/>
                          <w:ind w:firstLine="0" w:firstLineChars="0"/>
                          <w:jc w:val="center"/>
                          <w:rPr>
                            <w:szCs w:val="28"/>
                          </w:rPr>
                        </w:pPr>
                        <w:r>
                          <w:rPr>
                            <w:rFonts w:hint="eastAsia"/>
                            <w:szCs w:val="28"/>
                          </w:rPr>
                          <w:t>混凝沉淀池</w:t>
                        </w:r>
                      </w:p>
                    </w:txbxContent>
                  </v:textbox>
                </v:shape>
                <v:shape id="自选图形 1449" o:spid="_x0000_s1026" o:spt="32" type="#_x0000_t32" style="position:absolute;left:2773785;top:1562988;flip:y;height:3234;width:832782;" filled="f" stroked="t" coordsize="21600,21600" o:gfxdata="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5qLhNYAAAAFAQAADwAAAAAAAAABACAAAAAiAAAAZHJzL2Rvd25yZXYueG1s&#10;UEsBAhQAFAAAAAgAh07iQE95+ez6AQAAqQMAAA4AAAAAAAAAAQAgAAAAJQEAAGRycy9lMm9Eb2Mu&#10;eG1sUEsFBgAAAAAGAAYAWQEAAJEFAAAAAA==&#10;">
                  <v:fill on="f" focussize="0,0"/>
                  <v:stroke color="#000000" joinstyle="round" dashstyle="dash"/>
                  <v:imagedata o:title=""/>
                  <o:lock v:ext="edit" aspectratio="f"/>
                </v:shape>
                <v:shape id="自选图形 1449" o:spid="_x0000_s1026" o:spt="32" type="#_x0000_t32" style="position:absolute;left:2759232;top:2122998;flip:y;height:0;width:825775;" filled="f" stroked="t" coordsize="21600,21600" o:gfxdata="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Oai4TWAAAABQEAAA8AAAAAAAAAAQAgAAAAIgAAAGRycy9kb3ducmV2LnhtbFBL&#10;AQIUABQAAAAIAIdO4kBQMbzf+AEAAKYDAAAOAAAAAAAAAAEAIAAAACUBAABkcnMvZTJvRG9jLnht&#10;bFBLBQYAAAAABgAGAFkBAACPBQAAAAA=&#10;">
                  <v:fill on="f" focussize="0,0"/>
                  <v:stroke color="#000000" joinstyle="round" dashstyle="dash"/>
                  <v:imagedata o:title=""/>
                  <o:lock v:ext="edit" aspectratio="f"/>
                </v:shape>
                <v:shape id="自选图形 1449" o:spid="_x0000_s1026" o:spt="32" type="#_x0000_t32" style="position:absolute;left:2751686;top:2701873;flip:y;height:0;width:825775;" filled="f" stroked="t" coordsize="21600,21600" o:gfxdata="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Oai4TWAAAABQEAAA8AAAAAAAAAAQAgAAAAIgAAAGRycy9kb3ducmV2LnhtbFBL&#10;AQIUABQAAAAIAIdO4kClw4c2+AEAAKYDAAAOAAAAAAAAAAEAIAAAACUBAABkcnMvZTJvRG9jLnht&#10;bFBLBQYAAAAABgAGAFkBAACPBQAAAAA=&#10;">
                  <v:fill on="f" focussize="0,0"/>
                  <v:stroke color="#000000" joinstyle="round" dashstyle="dash"/>
                  <v:imagedata o:title=""/>
                  <o:lock v:ext="edit" aspectratio="f"/>
                </v:shape>
                <v:shape id="自选图形 1449" o:spid="_x0000_s1026" o:spt="32" type="#_x0000_t32" style="position:absolute;left:2759232;top:3185885;flip:y;height:0;width:825775;" filled="f" stroked="t" coordsize="21600,21600" o:gfxdata="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5qLhNYAAAAFAQAADwAAAAAAAAABACAAAAAiAAAAZHJzL2Rvd25yZXYueG1s&#10;UEsBAhQAFAAAAAgAh07iQNl47CH6AQAApgMAAA4AAAAAAAAAAQAgAAAAJQEAAGRycy9lMm9Eb2Mu&#10;eG1sUEsFBgAAAAAGAAYAWQEAAJEFAAAAAA==&#10;">
                  <v:fill on="f" focussize="0,0"/>
                  <v:stroke color="#000000" joinstyle="round" dashstyle="dash"/>
                  <v:imagedata o:title=""/>
                  <o:lock v:ext="edit" aspectratio="f"/>
                </v:shape>
                <v:shape id="自选图形 1448" o:spid="_x0000_s1026" o:spt="32" type="#_x0000_t32" style="position:absolute;left:3609263;top:1551669;height:1957071;width:11319;" filled="f" stroked="t" coordsize="21600,21600" o:gfxdata="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s3BAfTAAAABQEAAA8AAAAAAAAAAQAgAAAA&#10;IgAAAGRycy9kb3ducmV2LnhtbFBLAQIUABQAAAAIAIdO4kBdrXuiEAIAAM8DAAAOAAAAAAAAAAEA&#10;IAAAACIBAABkcnMvZTJvRG9jLnhtbFBLBQYAAAAABgAGAFkBAACkBQAAAAA=&#10;">
                  <v:fill on="f" focussize="0,0"/>
                  <v:stroke color="#000000" joinstyle="round" dashstyle="dash" endarrow="block"/>
                  <v:imagedata o:title=""/>
                  <o:lock v:ext="edit" aspectratio="f"/>
                </v:shape>
                <v:shape id="文本框 54" o:spid="_x0000_s1026" o:spt="202" type="#_x0000_t202" style="position:absolute;left:2634180;top:1866978;height:305068;width:933579;" fillcolor="#FFFFFF" filled="t" stroked="f" coordsize="21600,21600" o:gfxdata="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Nq181gAAAAUBAAAPAAAAAAAAAAEAIAAAACIAAABkcnMvZG93bnJldi54bWxQSwEC&#10;FAAUAAAACACHTuJAZ9WAAy8CAAAoBAAADgAAAAAAAAABACAAAAAlAQAAZHJzL2Uyb0RvYy54bWxQ&#10;SwUGAAAAAAYABgBZAQAAxgUAAAAA&#10;">
                  <v:fill on="t" opacity="0f" focussize="0,0"/>
                  <v:stroke on="f"/>
                  <v:imagedata o:title=""/>
                  <o:lock v:ext="edit" aspectratio="f"/>
                  <v:textbox>
                    <w:txbxContent>
                      <w:p>
                        <w:pPr>
                          <w:pStyle w:val="26"/>
                          <w:adjustRightInd w:val="0"/>
                          <w:snapToGrid w:val="0"/>
                          <w:spacing w:before="0" w:beforeAutospacing="0" w:after="0" w:afterAutospacing="0"/>
                          <w:jc w:val="center"/>
                          <w:rPr>
                            <w:rFonts w:hint="default"/>
                            <w:sz w:val="21"/>
                            <w:szCs w:val="21"/>
                          </w:rPr>
                        </w:pPr>
                        <w:r>
                          <w:rPr>
                            <w:sz w:val="21"/>
                            <w:szCs w:val="21"/>
                          </w:rPr>
                          <w:t>剩余污泥</w:t>
                        </w:r>
                      </w:p>
                    </w:txbxContent>
                  </v:textbox>
                </v:shape>
                <v:shape id="文本框 55" o:spid="_x0000_s1026" o:spt="202" type="#_x0000_t202" style="position:absolute;left:2640648;top:1374342;height:305068;width:927111;" fillcolor="#FFFFFF" filled="t" stroked="f" coordsize="21600,21600" o:gfxdata="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Nq181gAAAAUBAAAPAAAAAAAAAAEAIAAAACIAAABkcnMvZG93bnJldi54bWxQSwEC&#10;FAAUAAAACACHTuJAr769Uy8CAAAoBAAADgAAAAAAAAABACAAAAAlAQAAZHJzL2Uyb0RvYy54bWxQ&#10;SwUGAAAAAAYABgBZAQAAxgUAAAAA&#10;">
                  <v:fill on="t" opacity="0f" focussize="0,0"/>
                  <v:stroke on="f"/>
                  <v:imagedata o:title=""/>
                  <o:lock v:ext="edit" aspectratio="f"/>
                  <v:textbox>
                    <w:txbxContent>
                      <w:p>
                        <w:pPr>
                          <w:pStyle w:val="26"/>
                          <w:adjustRightInd w:val="0"/>
                          <w:snapToGrid w:val="0"/>
                          <w:spacing w:before="0" w:beforeAutospacing="0" w:after="0" w:afterAutospacing="0"/>
                          <w:jc w:val="center"/>
                          <w:rPr>
                            <w:rFonts w:hint="default"/>
                            <w:sz w:val="21"/>
                            <w:szCs w:val="21"/>
                          </w:rPr>
                        </w:pPr>
                        <w:r>
                          <w:rPr>
                            <w:sz w:val="21"/>
                            <w:szCs w:val="21"/>
                          </w:rPr>
                          <w:t>剩余污泥</w:t>
                        </w:r>
                      </w:p>
                    </w:txbxContent>
                  </v:textbox>
                </v:shape>
                <v:shape id="文本框 56" o:spid="_x0000_s1026" o:spt="202" type="#_x0000_t202" style="position:absolute;left:2560873;top:2957893;height:305068;width:927111;" fillcolor="#FFFFFF" filled="t" stroked="f" coordsize="21600,21600" o:gfxdata="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Nq181gAAAAUBAAAPAAAAAAAAAAEAIAAAACIAAABkcnMvZG93bnJldi54bWxQSwEC&#10;FAAUAAAACACHTuJAy7fnhi8CAAAoBAAADgAAAAAAAAABACAAAAAlAQAAZHJzL2Uyb0RvYy54bWxQ&#10;SwUGAAAAAAYABgBZAQAAxgUAAAAA&#10;">
                  <v:fill on="t" opacity="0f" focussize="0,0"/>
                  <v:stroke on="f"/>
                  <v:imagedata o:title=""/>
                  <o:lock v:ext="edit" aspectratio="f"/>
                  <v:textbox>
                    <w:txbxContent>
                      <w:p>
                        <w:pPr>
                          <w:pStyle w:val="26"/>
                          <w:adjustRightInd w:val="0"/>
                          <w:snapToGrid w:val="0"/>
                          <w:spacing w:before="0" w:beforeAutospacing="0" w:after="0" w:afterAutospacing="0"/>
                          <w:jc w:val="center"/>
                          <w:rPr>
                            <w:rFonts w:hint="default"/>
                            <w:sz w:val="21"/>
                            <w:szCs w:val="21"/>
                          </w:rPr>
                        </w:pPr>
                        <w:r>
                          <w:rPr>
                            <w:sz w:val="21"/>
                            <w:szCs w:val="21"/>
                          </w:rPr>
                          <w:t>剩余污泥</w:t>
                        </w:r>
                      </w:p>
                    </w:txbxContent>
                  </v:textbox>
                </v:shape>
                <v:shape id="文本框 57" o:spid="_x0000_s1026" o:spt="202" type="#_x0000_t202" style="position:absolute;left:2537696;top:2481426;height:305068;width:927111;" fillcolor="#FFFFFF" filled="t" stroked="f" coordsize="21600,21600" o:gfxdata="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Y2rXzWAAAABQEAAA8AAAAAAAAAAQAgAAAAIgAAAGRycy9kb3ducmV2LnhtbFBLAQIU&#10;ABQAAAAIAIdO4kCLXXMELgIAACgEAAAOAAAAAAAAAAEAIAAAACUBAABkcnMvZTJvRG9jLnhtbFBL&#10;BQYAAAAABgAGAFkBAADFBQAAAAA=&#10;">
                  <v:fill on="t" opacity="0f" focussize="0,0"/>
                  <v:stroke on="f"/>
                  <v:imagedata o:title=""/>
                  <o:lock v:ext="edit" aspectratio="f"/>
                  <v:textbox>
                    <w:txbxContent>
                      <w:p>
                        <w:pPr>
                          <w:pStyle w:val="26"/>
                          <w:adjustRightInd w:val="0"/>
                          <w:snapToGrid w:val="0"/>
                          <w:spacing w:before="0" w:beforeAutospacing="0" w:after="0" w:afterAutospacing="0"/>
                          <w:jc w:val="center"/>
                          <w:rPr>
                            <w:rFonts w:hint="default"/>
                            <w:sz w:val="21"/>
                            <w:szCs w:val="21"/>
                          </w:rPr>
                        </w:pPr>
                        <w:r>
                          <w:rPr>
                            <w:sz w:val="21"/>
                            <w:szCs w:val="21"/>
                          </w:rPr>
                          <w:t>剩余污泥</w:t>
                        </w:r>
                      </w:p>
                    </w:txbxContent>
                  </v:textbox>
                </v:shape>
                <w10:wrap type="none"/>
                <w10:anchorlock/>
              </v:group>
            </w:pict>
          </mc:Fallback>
        </mc:AlternateConten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 xml:space="preserve">2.2-1  </w:t>
      </w:r>
      <w:r>
        <w:rPr>
          <w:rFonts w:hint="eastAsia" w:cs="Times New Roman"/>
          <w:b/>
          <w:color w:val="000000" w:themeColor="text1"/>
          <w:sz w:val="21"/>
          <w:szCs w:val="21"/>
          <w14:textFill>
            <w14:solidFill>
              <w14:schemeClr w14:val="tx1"/>
            </w14:solidFill>
          </w14:textFill>
        </w:rPr>
        <w:t>工艺流程图</w:t>
      </w:r>
    </w:p>
    <w:p>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工艺流程简介：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污水处理厂改扩建工程主要工艺构筑物由预处理构筑物（格栅渠调节池）、AO（缺氧池、好氧池）、混凝沉淀池、接触消毒池、污泥干化池、污泥脱水加药棚等组成。</w:t>
      </w:r>
    </w:p>
    <w:p>
      <w:pPr>
        <w:ind w:firstLine="480"/>
        <w:rPr>
          <w:bCs/>
          <w:color w:val="000000" w:themeColor="text1"/>
          <w14:textFill>
            <w14:solidFill>
              <w14:schemeClr w14:val="tx1"/>
            </w14:solidFill>
          </w14:textFill>
        </w:rPr>
      </w:pPr>
      <w:r>
        <w:rPr>
          <w:bCs/>
          <w:color w:val="000000" w:themeColor="text1"/>
          <w14:textFill>
            <w14:solidFill>
              <w14:schemeClr w14:val="tx1"/>
            </w14:solidFill>
          </w14:textFill>
        </w:rPr>
        <w:t>城镇污水通过污水收集系统进入污水厂后，首先经格栅渠去除较大固体杂物，进入调节池进行水质、水量的调节。由泵提升的污水经进入AO池，AO池为缺氧池和好氧池，污水通过缺氧、好氧，在微生物作用下，将城镇污水中有机污染物及氨氮等污染物质分解或转化为H</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O、CO</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、N</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等物质。AO池出水进入混凝沉淀池，污水与混凝剂混合后进入混凝沉淀池，出水经接触消毒池中投加的次氯酸钠消毒处理，最后经计量渠计量后达标排放。</w:t>
      </w:r>
    </w:p>
    <w:p>
      <w:pPr>
        <w:ind w:firstLine="480"/>
        <w:rPr>
          <w:color w:val="000000" w:themeColor="text1"/>
          <w:lang w:val="zh-CN"/>
          <w14:textFill>
            <w14:solidFill>
              <w14:schemeClr w14:val="tx1"/>
            </w14:solidFill>
          </w14:textFill>
        </w:rPr>
      </w:pPr>
      <w:r>
        <w:rPr>
          <w:bCs/>
          <w:color w:val="000000" w:themeColor="text1"/>
          <w14:textFill>
            <w14:solidFill>
              <w14:schemeClr w14:val="tx1"/>
            </w14:solidFill>
          </w14:textFill>
        </w:rPr>
        <w:t>剩余活性污泥排放到污泥干化池，混凝沉淀池中的产生的污泥进入污泥干化池，最后进入污泥脱水加药棚进行脱水处理</w:t>
      </w:r>
      <w:r>
        <w:rPr>
          <w:rFonts w:hint="eastAsia"/>
          <w:color w:val="000000" w:themeColor="text1"/>
          <w:lang w:val="zh-CN"/>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.2.7 </w:t>
      </w:r>
      <w:r>
        <w:rPr>
          <w:rFonts w:hint="eastAsia"/>
          <w:color w:val="000000" w:themeColor="text1"/>
          <w14:textFill>
            <w14:solidFill>
              <w14:schemeClr w14:val="tx1"/>
            </w14:solidFill>
          </w14:textFill>
        </w:rPr>
        <w:t>处理工艺去除率</w:t>
      </w:r>
    </w:p>
    <w:p>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本项目采用</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格栅-调节池-AO池-接触消毒</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工艺，各主要污水处理构筑物处理效率见表</w:t>
      </w:r>
      <w:r>
        <w:rPr>
          <w:rFonts w:hint="eastAsia"/>
          <w:color w:val="000000" w:themeColor="text1"/>
          <w:lang w:val="zh-CN"/>
          <w14:textFill>
            <w14:solidFill>
              <w14:schemeClr w14:val="tx1"/>
            </w14:solidFill>
          </w14:textFill>
        </w:rPr>
        <w:t>2</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表2</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2  污水处理工艺各阶段去除率一览表单位：mg/L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15"/>
        <w:gridCol w:w="1045"/>
        <w:gridCol w:w="918"/>
        <w:gridCol w:w="890"/>
        <w:gridCol w:w="1064"/>
        <w:gridCol w:w="893"/>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48" w:type="dxa"/>
            <w:gridSpan w:val="2"/>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18" w:name="_Toc184805833"/>
            <w:r>
              <w:rPr>
                <w:b/>
                <w:bCs/>
                <w:color w:val="000000" w:themeColor="text1"/>
                <w:sz w:val="21"/>
                <w:szCs w:val="21"/>
                <w14:textFill>
                  <w14:solidFill>
                    <w14:schemeClr w14:val="tx1"/>
                  </w14:solidFill>
                </w14:textFill>
              </w:rPr>
              <w:t>项目</w:t>
            </w:r>
            <w:bookmarkEnd w:id="18"/>
          </w:p>
        </w:tc>
        <w:tc>
          <w:tcPr>
            <w:tcW w:w="1118"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19" w:name="_Toc184805834"/>
            <w:r>
              <w:rPr>
                <w:b/>
                <w:bCs/>
                <w:color w:val="000000" w:themeColor="text1"/>
                <w:sz w:val="21"/>
                <w:szCs w:val="21"/>
                <w14:textFill>
                  <w14:solidFill>
                    <w14:schemeClr w14:val="tx1"/>
                  </w14:solidFill>
                </w14:textFill>
              </w:rPr>
              <w:t>COD</w:t>
            </w:r>
            <w:bookmarkEnd w:id="19"/>
          </w:p>
        </w:tc>
        <w:tc>
          <w:tcPr>
            <w:tcW w:w="979" w:type="dxa"/>
            <w:vAlign w:val="center"/>
          </w:tcPr>
          <w:p>
            <w:pPr>
              <w:spacing w:line="240" w:lineRule="auto"/>
              <w:ind w:firstLine="0" w:firstLineChars="0"/>
              <w:jc w:val="center"/>
              <w:outlineLvl w:val="0"/>
              <w:rPr>
                <w:b/>
                <w:bCs/>
                <w:color w:val="000000" w:themeColor="text1"/>
                <w:sz w:val="21"/>
                <w:szCs w:val="21"/>
                <w:vertAlign w:val="subscript"/>
                <w14:textFill>
                  <w14:solidFill>
                    <w14:schemeClr w14:val="tx1"/>
                  </w14:solidFill>
                </w14:textFill>
              </w:rPr>
            </w:pPr>
            <w:bookmarkStart w:id="20" w:name="_Toc184805835"/>
            <w:r>
              <w:rPr>
                <w:b/>
                <w:bCs/>
                <w:color w:val="000000" w:themeColor="text1"/>
                <w:sz w:val="21"/>
                <w:szCs w:val="21"/>
                <w14:textFill>
                  <w14:solidFill>
                    <w14:schemeClr w14:val="tx1"/>
                  </w14:solidFill>
                </w14:textFill>
              </w:rPr>
              <w:t>BOD</w:t>
            </w:r>
            <w:r>
              <w:rPr>
                <w:b/>
                <w:bCs/>
                <w:color w:val="000000" w:themeColor="text1"/>
                <w:sz w:val="21"/>
                <w:szCs w:val="21"/>
                <w:vertAlign w:val="subscript"/>
                <w14:textFill>
                  <w14:solidFill>
                    <w14:schemeClr w14:val="tx1"/>
                  </w14:solidFill>
                </w14:textFill>
              </w:rPr>
              <w:t>5</w:t>
            </w:r>
            <w:bookmarkEnd w:id="20"/>
          </w:p>
        </w:tc>
        <w:tc>
          <w:tcPr>
            <w:tcW w:w="948"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1" w:name="_Toc184805836"/>
            <w:r>
              <w:rPr>
                <w:b/>
                <w:bCs/>
                <w:color w:val="000000" w:themeColor="text1"/>
                <w:sz w:val="21"/>
                <w:szCs w:val="21"/>
                <w14:textFill>
                  <w14:solidFill>
                    <w14:schemeClr w14:val="tx1"/>
                  </w14:solidFill>
                </w14:textFill>
              </w:rPr>
              <w:t>SS</w:t>
            </w:r>
            <w:bookmarkEnd w:id="21"/>
          </w:p>
        </w:tc>
        <w:tc>
          <w:tcPr>
            <w:tcW w:w="1139"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2" w:name="_Toc184805837"/>
            <w:r>
              <w:rPr>
                <w:b/>
                <w:bCs/>
                <w:color w:val="000000" w:themeColor="text1"/>
                <w:sz w:val="21"/>
                <w:szCs w:val="21"/>
                <w14:textFill>
                  <w14:solidFill>
                    <w14:schemeClr w14:val="tx1"/>
                  </w14:solidFill>
                </w14:textFill>
              </w:rPr>
              <w:t>NH</w:t>
            </w:r>
            <w:r>
              <w:rPr>
                <w:b/>
                <w:bCs/>
                <w:color w:val="000000" w:themeColor="text1"/>
                <w:sz w:val="21"/>
                <w:szCs w:val="21"/>
                <w:vertAlign w:val="subscript"/>
                <w14:textFill>
                  <w14:solidFill>
                    <w14:schemeClr w14:val="tx1"/>
                  </w14:solidFill>
                </w14:textFill>
              </w:rPr>
              <w:t>3</w:t>
            </w:r>
            <w:r>
              <w:rPr>
                <w:b/>
                <w:bCs/>
                <w:color w:val="000000" w:themeColor="text1"/>
                <w:sz w:val="21"/>
                <w:szCs w:val="21"/>
                <w14:textFill>
                  <w14:solidFill>
                    <w14:schemeClr w14:val="tx1"/>
                  </w14:solidFill>
                </w14:textFill>
              </w:rPr>
              <w:t>-N</w:t>
            </w:r>
            <w:bookmarkEnd w:id="22"/>
          </w:p>
        </w:tc>
        <w:tc>
          <w:tcPr>
            <w:tcW w:w="951"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3" w:name="_Toc184805838"/>
            <w:r>
              <w:rPr>
                <w:b/>
                <w:bCs/>
                <w:color w:val="000000" w:themeColor="text1"/>
                <w:sz w:val="21"/>
                <w:szCs w:val="21"/>
                <w14:textFill>
                  <w14:solidFill>
                    <w14:schemeClr w14:val="tx1"/>
                  </w14:solidFill>
                </w14:textFill>
              </w:rPr>
              <w:t>TN</w:t>
            </w:r>
            <w:bookmarkEnd w:id="23"/>
          </w:p>
        </w:tc>
        <w:tc>
          <w:tcPr>
            <w:tcW w:w="942"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4" w:name="_Toc184805839"/>
            <w:r>
              <w:rPr>
                <w:b/>
                <w:bCs/>
                <w:color w:val="000000" w:themeColor="text1"/>
                <w:sz w:val="21"/>
                <w:szCs w:val="21"/>
                <w14:textFill>
                  <w14:solidFill>
                    <w14:schemeClr w14:val="tx1"/>
                  </w14:solidFill>
                </w14:textFill>
              </w:rPr>
              <w:t>TP</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47" w:type="dxa"/>
            <w:gridSpan w:val="2"/>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5" w:name="_Toc184805840"/>
            <w:r>
              <w:rPr>
                <w:b/>
                <w:bCs/>
                <w:color w:val="000000" w:themeColor="text1"/>
                <w:sz w:val="21"/>
                <w:szCs w:val="21"/>
                <w14:textFill>
                  <w14:solidFill>
                    <w14:schemeClr w14:val="tx1"/>
                  </w14:solidFill>
                </w14:textFill>
              </w:rPr>
              <w:t>进水浓度</w:t>
            </w:r>
            <w:bookmarkEnd w:id="25"/>
          </w:p>
        </w:tc>
        <w:tc>
          <w:tcPr>
            <w:tcW w:w="1118"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6" w:name="_Toc184805841"/>
            <w:r>
              <w:rPr>
                <w:b/>
                <w:bCs/>
                <w:color w:val="000000" w:themeColor="text1"/>
                <w:sz w:val="21"/>
                <w:szCs w:val="21"/>
                <w14:textFill>
                  <w14:solidFill>
                    <w14:schemeClr w14:val="tx1"/>
                  </w14:solidFill>
                </w14:textFill>
              </w:rPr>
              <w:t>350</w:t>
            </w:r>
            <w:bookmarkEnd w:id="26"/>
          </w:p>
        </w:tc>
        <w:tc>
          <w:tcPr>
            <w:tcW w:w="979"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7" w:name="_Toc184805842"/>
            <w:r>
              <w:rPr>
                <w:b/>
                <w:bCs/>
                <w:color w:val="000000" w:themeColor="text1"/>
                <w:sz w:val="21"/>
                <w:szCs w:val="21"/>
                <w14:textFill>
                  <w14:solidFill>
                    <w14:schemeClr w14:val="tx1"/>
                  </w14:solidFill>
                </w14:textFill>
              </w:rPr>
              <w:t>200</w:t>
            </w:r>
            <w:bookmarkEnd w:id="27"/>
          </w:p>
        </w:tc>
        <w:tc>
          <w:tcPr>
            <w:tcW w:w="948"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8" w:name="_Toc184805843"/>
            <w:r>
              <w:rPr>
                <w:b/>
                <w:bCs/>
                <w:color w:val="000000" w:themeColor="text1"/>
                <w:sz w:val="21"/>
                <w:szCs w:val="21"/>
                <w14:textFill>
                  <w14:solidFill>
                    <w14:schemeClr w14:val="tx1"/>
                  </w14:solidFill>
                </w14:textFill>
              </w:rPr>
              <w:t>200</w:t>
            </w:r>
            <w:bookmarkEnd w:id="28"/>
          </w:p>
        </w:tc>
        <w:tc>
          <w:tcPr>
            <w:tcW w:w="1139"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29" w:name="_Toc184805844"/>
            <w:r>
              <w:rPr>
                <w:b/>
                <w:bCs/>
                <w:color w:val="000000" w:themeColor="text1"/>
                <w:sz w:val="21"/>
                <w:szCs w:val="21"/>
                <w14:textFill>
                  <w14:solidFill>
                    <w14:schemeClr w14:val="tx1"/>
                  </w14:solidFill>
                </w14:textFill>
              </w:rPr>
              <w:t>45</w:t>
            </w:r>
            <w:bookmarkEnd w:id="29"/>
          </w:p>
        </w:tc>
        <w:tc>
          <w:tcPr>
            <w:tcW w:w="951"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30" w:name="_Toc184805845"/>
            <w:r>
              <w:rPr>
                <w:b/>
                <w:bCs/>
                <w:color w:val="000000" w:themeColor="text1"/>
                <w:sz w:val="21"/>
                <w:szCs w:val="21"/>
                <w14:textFill>
                  <w14:solidFill>
                    <w14:schemeClr w14:val="tx1"/>
                  </w14:solidFill>
                </w14:textFill>
              </w:rPr>
              <w:t>50</w:t>
            </w:r>
            <w:bookmarkEnd w:id="30"/>
          </w:p>
        </w:tc>
        <w:tc>
          <w:tcPr>
            <w:tcW w:w="942" w:type="dxa"/>
            <w:vAlign w:val="center"/>
          </w:tcPr>
          <w:p>
            <w:pPr>
              <w:spacing w:line="240" w:lineRule="auto"/>
              <w:ind w:firstLine="0" w:firstLineChars="0"/>
              <w:jc w:val="center"/>
              <w:outlineLvl w:val="0"/>
              <w:rPr>
                <w:b/>
                <w:bCs/>
                <w:color w:val="000000" w:themeColor="text1"/>
                <w:sz w:val="21"/>
                <w:szCs w:val="21"/>
                <w14:textFill>
                  <w14:solidFill>
                    <w14:schemeClr w14:val="tx1"/>
                  </w14:solidFill>
                </w14:textFill>
              </w:rPr>
            </w:pPr>
            <w:bookmarkStart w:id="31" w:name="_Toc184805846"/>
            <w:r>
              <w:rPr>
                <w:b/>
                <w:bCs/>
                <w:color w:val="000000" w:themeColor="text1"/>
                <w:sz w:val="21"/>
                <w:szCs w:val="21"/>
                <w14:textFill>
                  <w14:solidFill>
                    <w14:schemeClr w14:val="tx1"/>
                  </w14:solidFill>
                </w14:textFill>
              </w:rPr>
              <w:t>5</w:t>
            </w:r>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3" w:type="dxa"/>
            <w:vMerge w:val="restart"/>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32" w:name="_Toc184805847"/>
            <w:r>
              <w:rPr>
                <w:bCs/>
                <w:color w:val="000000" w:themeColor="text1"/>
                <w:sz w:val="21"/>
                <w:szCs w:val="21"/>
                <w14:textFill>
                  <w14:solidFill>
                    <w14:schemeClr w14:val="tx1"/>
                  </w14:solidFill>
                </w14:textFill>
              </w:rPr>
              <w:t>格栅调节池</w:t>
            </w:r>
            <w:bookmarkEnd w:id="32"/>
          </w:p>
        </w:tc>
        <w:tc>
          <w:tcPr>
            <w:tcW w:w="1525"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33" w:name="_Toc184805848"/>
            <w:r>
              <w:rPr>
                <w:bCs/>
                <w:color w:val="000000" w:themeColor="text1"/>
                <w:sz w:val="21"/>
                <w:szCs w:val="21"/>
                <w14:textFill>
                  <w14:solidFill>
                    <w14:schemeClr w14:val="tx1"/>
                  </w14:solidFill>
                </w14:textFill>
              </w:rPr>
              <w:t>去除率</w:t>
            </w:r>
            <w:bookmarkEnd w:id="33"/>
          </w:p>
        </w:tc>
        <w:tc>
          <w:tcPr>
            <w:tcW w:w="111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34" w:name="_Toc184805849"/>
            <w:r>
              <w:rPr>
                <w:bCs/>
                <w:color w:val="000000" w:themeColor="text1"/>
                <w:sz w:val="21"/>
                <w:szCs w:val="21"/>
                <w14:textFill>
                  <w14:solidFill>
                    <w14:schemeClr w14:val="tx1"/>
                  </w14:solidFill>
                </w14:textFill>
              </w:rPr>
              <w:t>10%</w:t>
            </w:r>
            <w:bookmarkEnd w:id="34"/>
          </w:p>
        </w:tc>
        <w:tc>
          <w:tcPr>
            <w:tcW w:w="97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35" w:name="_Toc184805850"/>
            <w:r>
              <w:rPr>
                <w:bCs/>
                <w:color w:val="000000" w:themeColor="text1"/>
                <w:sz w:val="21"/>
                <w:szCs w:val="21"/>
                <w14:textFill>
                  <w14:solidFill>
                    <w14:schemeClr w14:val="tx1"/>
                  </w14:solidFill>
                </w14:textFill>
              </w:rPr>
              <w:t>10%</w:t>
            </w:r>
            <w:bookmarkEnd w:id="35"/>
          </w:p>
        </w:tc>
        <w:tc>
          <w:tcPr>
            <w:tcW w:w="94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36" w:name="_Toc184805851"/>
            <w:r>
              <w:rPr>
                <w:bCs/>
                <w:color w:val="000000" w:themeColor="text1"/>
                <w:sz w:val="21"/>
                <w:szCs w:val="21"/>
                <w14:textFill>
                  <w14:solidFill>
                    <w14:schemeClr w14:val="tx1"/>
                  </w14:solidFill>
                </w14:textFill>
              </w:rPr>
              <w:t>10%</w:t>
            </w:r>
            <w:bookmarkEnd w:id="36"/>
          </w:p>
        </w:tc>
        <w:tc>
          <w:tcPr>
            <w:tcW w:w="113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37" w:name="_Toc184805852"/>
            <w:r>
              <w:rPr>
                <w:bCs/>
                <w:color w:val="000000" w:themeColor="text1"/>
                <w:sz w:val="21"/>
                <w:szCs w:val="21"/>
                <w14:textFill>
                  <w14:solidFill>
                    <w14:schemeClr w14:val="tx1"/>
                  </w14:solidFill>
                </w14:textFill>
              </w:rPr>
              <w:t>0</w:t>
            </w:r>
            <w:bookmarkEnd w:id="37"/>
          </w:p>
        </w:tc>
        <w:tc>
          <w:tcPr>
            <w:tcW w:w="951"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38" w:name="_Toc184805853"/>
            <w:r>
              <w:rPr>
                <w:bCs/>
                <w:color w:val="000000" w:themeColor="text1"/>
                <w:sz w:val="21"/>
                <w:szCs w:val="21"/>
                <w14:textFill>
                  <w14:solidFill>
                    <w14:schemeClr w14:val="tx1"/>
                  </w14:solidFill>
                </w14:textFill>
              </w:rPr>
              <w:t>0</w:t>
            </w:r>
            <w:bookmarkEnd w:id="38"/>
          </w:p>
        </w:tc>
        <w:tc>
          <w:tcPr>
            <w:tcW w:w="942"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39" w:name="_Toc184805854"/>
            <w:r>
              <w:rPr>
                <w:bCs/>
                <w:color w:val="000000" w:themeColor="text1"/>
                <w:sz w:val="21"/>
                <w:szCs w:val="21"/>
                <w14:textFill>
                  <w14:solidFill>
                    <w14:schemeClr w14:val="tx1"/>
                  </w14:solidFill>
                </w14:textFill>
              </w:rPr>
              <w:t>0</w:t>
            </w:r>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3" w:type="dxa"/>
            <w:vMerge w:val="continue"/>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p>
        </w:tc>
        <w:tc>
          <w:tcPr>
            <w:tcW w:w="1525"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0" w:name="_Toc184805855"/>
            <w:r>
              <w:rPr>
                <w:bCs/>
                <w:color w:val="000000" w:themeColor="text1"/>
                <w:sz w:val="21"/>
                <w:szCs w:val="21"/>
                <w14:textFill>
                  <w14:solidFill>
                    <w14:schemeClr w14:val="tx1"/>
                  </w14:solidFill>
                </w14:textFill>
              </w:rPr>
              <w:t>出水浓度</w:t>
            </w:r>
            <w:bookmarkEnd w:id="40"/>
          </w:p>
        </w:tc>
        <w:tc>
          <w:tcPr>
            <w:tcW w:w="111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1" w:name="_Toc184805856"/>
            <w:r>
              <w:rPr>
                <w:bCs/>
                <w:color w:val="000000" w:themeColor="text1"/>
                <w:sz w:val="21"/>
                <w:szCs w:val="21"/>
                <w14:textFill>
                  <w14:solidFill>
                    <w14:schemeClr w14:val="tx1"/>
                  </w14:solidFill>
                </w14:textFill>
              </w:rPr>
              <w:t>315</w:t>
            </w:r>
            <w:bookmarkEnd w:id="41"/>
          </w:p>
        </w:tc>
        <w:tc>
          <w:tcPr>
            <w:tcW w:w="97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2" w:name="_Toc184805857"/>
            <w:r>
              <w:rPr>
                <w:bCs/>
                <w:color w:val="000000" w:themeColor="text1"/>
                <w:sz w:val="21"/>
                <w:szCs w:val="21"/>
                <w14:textFill>
                  <w14:solidFill>
                    <w14:schemeClr w14:val="tx1"/>
                  </w14:solidFill>
                </w14:textFill>
              </w:rPr>
              <w:t>180</w:t>
            </w:r>
            <w:bookmarkEnd w:id="42"/>
          </w:p>
        </w:tc>
        <w:tc>
          <w:tcPr>
            <w:tcW w:w="94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3" w:name="_Toc184805858"/>
            <w:r>
              <w:rPr>
                <w:bCs/>
                <w:color w:val="000000" w:themeColor="text1"/>
                <w:sz w:val="21"/>
                <w:szCs w:val="21"/>
                <w14:textFill>
                  <w14:solidFill>
                    <w14:schemeClr w14:val="tx1"/>
                  </w14:solidFill>
                </w14:textFill>
              </w:rPr>
              <w:t>180</w:t>
            </w:r>
            <w:bookmarkEnd w:id="43"/>
          </w:p>
        </w:tc>
        <w:tc>
          <w:tcPr>
            <w:tcW w:w="113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4" w:name="_Toc184805859"/>
            <w:r>
              <w:rPr>
                <w:bCs/>
                <w:color w:val="000000" w:themeColor="text1"/>
                <w:sz w:val="21"/>
                <w:szCs w:val="21"/>
                <w14:textFill>
                  <w14:solidFill>
                    <w14:schemeClr w14:val="tx1"/>
                  </w14:solidFill>
                </w14:textFill>
              </w:rPr>
              <w:t>45</w:t>
            </w:r>
            <w:bookmarkEnd w:id="44"/>
          </w:p>
        </w:tc>
        <w:tc>
          <w:tcPr>
            <w:tcW w:w="951"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5" w:name="_Toc184805860"/>
            <w:r>
              <w:rPr>
                <w:bCs/>
                <w:color w:val="000000" w:themeColor="text1"/>
                <w:sz w:val="21"/>
                <w:szCs w:val="21"/>
                <w14:textFill>
                  <w14:solidFill>
                    <w14:schemeClr w14:val="tx1"/>
                  </w14:solidFill>
                </w14:textFill>
              </w:rPr>
              <w:t>50</w:t>
            </w:r>
            <w:bookmarkEnd w:id="45"/>
          </w:p>
        </w:tc>
        <w:tc>
          <w:tcPr>
            <w:tcW w:w="942"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6" w:name="_Toc184805861"/>
            <w:r>
              <w:rPr>
                <w:bCs/>
                <w:color w:val="000000" w:themeColor="text1"/>
                <w:sz w:val="21"/>
                <w:szCs w:val="21"/>
                <w14:textFill>
                  <w14:solidFill>
                    <w14:schemeClr w14:val="tx1"/>
                  </w14:solidFill>
                </w14:textFill>
              </w:rPr>
              <w:t>5</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3" w:type="dxa"/>
            <w:vMerge w:val="restart"/>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7" w:name="_Toc184805862"/>
            <w:r>
              <w:rPr>
                <w:bCs/>
                <w:color w:val="000000" w:themeColor="text1"/>
                <w:sz w:val="21"/>
                <w:szCs w:val="21"/>
                <w14:textFill>
                  <w14:solidFill>
                    <w14:schemeClr w14:val="tx1"/>
                  </w14:solidFill>
                </w14:textFill>
              </w:rPr>
              <w:t>AO</w:t>
            </w:r>
            <w:bookmarkEnd w:id="47"/>
          </w:p>
        </w:tc>
        <w:tc>
          <w:tcPr>
            <w:tcW w:w="1525"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8" w:name="_Toc184805863"/>
            <w:r>
              <w:rPr>
                <w:bCs/>
                <w:color w:val="000000" w:themeColor="text1"/>
                <w:sz w:val="21"/>
                <w:szCs w:val="21"/>
                <w14:textFill>
                  <w14:solidFill>
                    <w14:schemeClr w14:val="tx1"/>
                  </w14:solidFill>
                </w14:textFill>
              </w:rPr>
              <w:t>去除率</w:t>
            </w:r>
            <w:bookmarkEnd w:id="48"/>
          </w:p>
        </w:tc>
        <w:tc>
          <w:tcPr>
            <w:tcW w:w="111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49" w:name="_Toc184805864"/>
            <w:r>
              <w:rPr>
                <w:bCs/>
                <w:color w:val="000000" w:themeColor="text1"/>
                <w:sz w:val="21"/>
                <w:szCs w:val="21"/>
                <w14:textFill>
                  <w14:solidFill>
                    <w14:schemeClr w14:val="tx1"/>
                  </w14:solidFill>
                </w14:textFill>
              </w:rPr>
              <w:t>84%</w:t>
            </w:r>
            <w:bookmarkEnd w:id="49"/>
          </w:p>
        </w:tc>
        <w:tc>
          <w:tcPr>
            <w:tcW w:w="97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0" w:name="_Toc184805865"/>
            <w:r>
              <w:rPr>
                <w:bCs/>
                <w:color w:val="000000" w:themeColor="text1"/>
                <w:sz w:val="21"/>
                <w:szCs w:val="21"/>
                <w14:textFill>
                  <w14:solidFill>
                    <w14:schemeClr w14:val="tx1"/>
                  </w14:solidFill>
                </w14:textFill>
              </w:rPr>
              <w:t>4%</w:t>
            </w:r>
            <w:bookmarkEnd w:id="50"/>
          </w:p>
        </w:tc>
        <w:tc>
          <w:tcPr>
            <w:tcW w:w="94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1" w:name="_Toc184805866"/>
            <w:r>
              <w:rPr>
                <w:bCs/>
                <w:color w:val="000000" w:themeColor="text1"/>
                <w:sz w:val="21"/>
                <w:szCs w:val="21"/>
                <w14:textFill>
                  <w14:solidFill>
                    <w14:schemeClr w14:val="tx1"/>
                  </w14:solidFill>
                </w14:textFill>
              </w:rPr>
              <w:t>86</w:t>
            </w:r>
            <w:bookmarkEnd w:id="51"/>
          </w:p>
        </w:tc>
        <w:tc>
          <w:tcPr>
            <w:tcW w:w="113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2" w:name="_Toc184805867"/>
            <w:r>
              <w:rPr>
                <w:bCs/>
                <w:color w:val="000000" w:themeColor="text1"/>
                <w:sz w:val="21"/>
                <w:szCs w:val="21"/>
                <w14:textFill>
                  <w14:solidFill>
                    <w14:schemeClr w14:val="tx1"/>
                  </w14:solidFill>
                </w14:textFill>
              </w:rPr>
              <w:t>88%</w:t>
            </w:r>
            <w:bookmarkEnd w:id="52"/>
          </w:p>
        </w:tc>
        <w:tc>
          <w:tcPr>
            <w:tcW w:w="951"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3" w:name="_Toc184805868"/>
            <w:r>
              <w:rPr>
                <w:bCs/>
                <w:color w:val="000000" w:themeColor="text1"/>
                <w:sz w:val="21"/>
                <w:szCs w:val="21"/>
                <w14:textFill>
                  <w14:solidFill>
                    <w14:schemeClr w14:val="tx1"/>
                  </w14:solidFill>
                </w14:textFill>
              </w:rPr>
              <w:t>70%</w:t>
            </w:r>
            <w:bookmarkEnd w:id="53"/>
          </w:p>
        </w:tc>
        <w:tc>
          <w:tcPr>
            <w:tcW w:w="942"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4" w:name="_Toc184805869"/>
            <w:r>
              <w:rPr>
                <w:bCs/>
                <w:color w:val="000000" w:themeColor="text1"/>
                <w:sz w:val="21"/>
                <w:szCs w:val="21"/>
                <w14:textFill>
                  <w14:solidFill>
                    <w14:schemeClr w14:val="tx1"/>
                  </w14:solidFill>
                </w14:textFill>
              </w:rPr>
              <w:t>60%</w:t>
            </w:r>
            <w:bookmarkEnd w:id="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3" w:type="dxa"/>
            <w:vMerge w:val="continue"/>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p>
        </w:tc>
        <w:tc>
          <w:tcPr>
            <w:tcW w:w="1525"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5" w:name="_Toc184805870"/>
            <w:r>
              <w:rPr>
                <w:bCs/>
                <w:color w:val="000000" w:themeColor="text1"/>
                <w:sz w:val="21"/>
                <w:szCs w:val="21"/>
                <w14:textFill>
                  <w14:solidFill>
                    <w14:schemeClr w14:val="tx1"/>
                  </w14:solidFill>
                </w14:textFill>
              </w:rPr>
              <w:t>出水浓度</w:t>
            </w:r>
            <w:bookmarkEnd w:id="55"/>
          </w:p>
        </w:tc>
        <w:tc>
          <w:tcPr>
            <w:tcW w:w="111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6" w:name="_Toc184805871"/>
            <w:r>
              <w:rPr>
                <w:bCs/>
                <w:color w:val="000000" w:themeColor="text1"/>
                <w:sz w:val="21"/>
                <w:szCs w:val="21"/>
                <w14:textFill>
                  <w14:solidFill>
                    <w14:schemeClr w14:val="tx1"/>
                  </w14:solidFill>
                </w14:textFill>
              </w:rPr>
              <w:t>50.4</w:t>
            </w:r>
            <w:bookmarkEnd w:id="56"/>
          </w:p>
        </w:tc>
        <w:tc>
          <w:tcPr>
            <w:tcW w:w="97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7" w:name="_Toc184805872"/>
            <w:r>
              <w:rPr>
                <w:bCs/>
                <w:color w:val="000000" w:themeColor="text1"/>
                <w:sz w:val="21"/>
                <w:szCs w:val="21"/>
                <w14:textFill>
                  <w14:solidFill>
                    <w14:schemeClr w14:val="tx1"/>
                  </w14:solidFill>
                </w14:textFill>
              </w:rPr>
              <w:t>10.8</w:t>
            </w:r>
            <w:bookmarkEnd w:id="57"/>
          </w:p>
        </w:tc>
        <w:tc>
          <w:tcPr>
            <w:tcW w:w="94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8" w:name="_Toc184805873"/>
            <w:r>
              <w:rPr>
                <w:bCs/>
                <w:color w:val="000000" w:themeColor="text1"/>
                <w:sz w:val="21"/>
                <w:szCs w:val="21"/>
                <w14:textFill>
                  <w14:solidFill>
                    <w14:schemeClr w14:val="tx1"/>
                  </w14:solidFill>
                </w14:textFill>
              </w:rPr>
              <w:t>25.2</w:t>
            </w:r>
            <w:bookmarkEnd w:id="58"/>
          </w:p>
        </w:tc>
        <w:tc>
          <w:tcPr>
            <w:tcW w:w="113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59" w:name="_Toc184805874"/>
            <w:r>
              <w:rPr>
                <w:bCs/>
                <w:color w:val="000000" w:themeColor="text1"/>
                <w:sz w:val="21"/>
                <w:szCs w:val="21"/>
                <w14:textFill>
                  <w14:solidFill>
                    <w14:schemeClr w14:val="tx1"/>
                  </w14:solidFill>
                </w14:textFill>
              </w:rPr>
              <w:t>5.4</w:t>
            </w:r>
            <w:bookmarkEnd w:id="59"/>
          </w:p>
        </w:tc>
        <w:tc>
          <w:tcPr>
            <w:tcW w:w="951"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0" w:name="_Toc184805875"/>
            <w:r>
              <w:rPr>
                <w:bCs/>
                <w:color w:val="000000" w:themeColor="text1"/>
                <w:sz w:val="21"/>
                <w:szCs w:val="21"/>
                <w14:textFill>
                  <w14:solidFill>
                    <w14:schemeClr w14:val="tx1"/>
                  </w14:solidFill>
                </w14:textFill>
              </w:rPr>
              <w:t>15</w:t>
            </w:r>
            <w:bookmarkEnd w:id="60"/>
          </w:p>
        </w:tc>
        <w:tc>
          <w:tcPr>
            <w:tcW w:w="942"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1" w:name="_Toc184805876"/>
            <w:r>
              <w:rPr>
                <w:bCs/>
                <w:color w:val="000000" w:themeColor="text1"/>
                <w:sz w:val="21"/>
                <w:szCs w:val="21"/>
                <w14:textFill>
                  <w14:solidFill>
                    <w14:schemeClr w14:val="tx1"/>
                  </w14:solidFill>
                </w14:textFill>
              </w:rPr>
              <w:t>2.0</w:t>
            </w:r>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3" w:type="dxa"/>
            <w:vMerge w:val="restart"/>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2" w:name="_Toc184805877"/>
            <w:r>
              <w:rPr>
                <w:bCs/>
                <w:color w:val="000000" w:themeColor="text1"/>
                <w:sz w:val="21"/>
                <w:szCs w:val="21"/>
                <w14:textFill>
                  <w14:solidFill>
                    <w14:schemeClr w14:val="tx1"/>
                  </w14:solidFill>
                </w14:textFill>
              </w:rPr>
              <w:t>混凝沉淀池</w:t>
            </w:r>
            <w:bookmarkEnd w:id="62"/>
          </w:p>
        </w:tc>
        <w:tc>
          <w:tcPr>
            <w:tcW w:w="1525"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3" w:name="_Toc184805878"/>
            <w:r>
              <w:rPr>
                <w:bCs/>
                <w:color w:val="000000" w:themeColor="text1"/>
                <w:sz w:val="21"/>
                <w:szCs w:val="21"/>
                <w14:textFill>
                  <w14:solidFill>
                    <w14:schemeClr w14:val="tx1"/>
                  </w14:solidFill>
                </w14:textFill>
              </w:rPr>
              <w:t>去除率</w:t>
            </w:r>
            <w:bookmarkEnd w:id="63"/>
          </w:p>
        </w:tc>
        <w:tc>
          <w:tcPr>
            <w:tcW w:w="111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4" w:name="_Toc184805879"/>
            <w:r>
              <w:rPr>
                <w:bCs/>
                <w:color w:val="000000" w:themeColor="text1"/>
                <w:sz w:val="21"/>
                <w:szCs w:val="21"/>
                <w14:textFill>
                  <w14:solidFill>
                    <w14:schemeClr w14:val="tx1"/>
                  </w14:solidFill>
                </w14:textFill>
              </w:rPr>
              <w:t>10%</w:t>
            </w:r>
            <w:bookmarkEnd w:id="64"/>
          </w:p>
        </w:tc>
        <w:tc>
          <w:tcPr>
            <w:tcW w:w="97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5" w:name="_Toc184805880"/>
            <w:r>
              <w:rPr>
                <w:bCs/>
                <w:color w:val="000000" w:themeColor="text1"/>
                <w:sz w:val="21"/>
                <w:szCs w:val="21"/>
                <w14:textFill>
                  <w14:solidFill>
                    <w14:schemeClr w14:val="tx1"/>
                  </w14:solidFill>
                </w14:textFill>
              </w:rPr>
              <w:t>15%</w:t>
            </w:r>
            <w:bookmarkEnd w:id="65"/>
          </w:p>
        </w:tc>
        <w:tc>
          <w:tcPr>
            <w:tcW w:w="94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6" w:name="_Toc184805881"/>
            <w:r>
              <w:rPr>
                <w:bCs/>
                <w:color w:val="000000" w:themeColor="text1"/>
                <w:sz w:val="21"/>
                <w:szCs w:val="21"/>
                <w14:textFill>
                  <w14:solidFill>
                    <w14:schemeClr w14:val="tx1"/>
                  </w14:solidFill>
                </w14:textFill>
              </w:rPr>
              <w:t>70%</w:t>
            </w:r>
            <w:bookmarkEnd w:id="66"/>
          </w:p>
        </w:tc>
        <w:tc>
          <w:tcPr>
            <w:tcW w:w="113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7" w:name="_Toc184805882"/>
            <w:r>
              <w:rPr>
                <w:bCs/>
                <w:color w:val="000000" w:themeColor="text1"/>
                <w:sz w:val="21"/>
                <w:szCs w:val="21"/>
                <w14:textFill>
                  <w14:solidFill>
                    <w14:schemeClr w14:val="tx1"/>
                  </w14:solidFill>
                </w14:textFill>
              </w:rPr>
              <w:t>0</w:t>
            </w:r>
            <w:bookmarkEnd w:id="67"/>
          </w:p>
        </w:tc>
        <w:tc>
          <w:tcPr>
            <w:tcW w:w="951"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8" w:name="_Toc184805883"/>
            <w:r>
              <w:rPr>
                <w:bCs/>
                <w:color w:val="000000" w:themeColor="text1"/>
                <w:sz w:val="21"/>
                <w:szCs w:val="21"/>
                <w14:textFill>
                  <w14:solidFill>
                    <w14:schemeClr w14:val="tx1"/>
                  </w14:solidFill>
                </w14:textFill>
              </w:rPr>
              <w:t>10%</w:t>
            </w:r>
            <w:bookmarkEnd w:id="68"/>
          </w:p>
        </w:tc>
        <w:tc>
          <w:tcPr>
            <w:tcW w:w="942"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69" w:name="_Toc184805884"/>
            <w:r>
              <w:rPr>
                <w:bCs/>
                <w:color w:val="000000" w:themeColor="text1"/>
                <w:sz w:val="21"/>
                <w:szCs w:val="21"/>
                <w14:textFill>
                  <w14:solidFill>
                    <w14:schemeClr w14:val="tx1"/>
                  </w14:solidFill>
                </w14:textFill>
              </w:rPr>
              <w:t>75%</w:t>
            </w: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3" w:type="dxa"/>
            <w:vMerge w:val="continue"/>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p>
        </w:tc>
        <w:tc>
          <w:tcPr>
            <w:tcW w:w="1525"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0" w:name="_Toc184805885"/>
            <w:r>
              <w:rPr>
                <w:bCs/>
                <w:color w:val="000000" w:themeColor="text1"/>
                <w:sz w:val="21"/>
                <w:szCs w:val="21"/>
                <w14:textFill>
                  <w14:solidFill>
                    <w14:schemeClr w14:val="tx1"/>
                  </w14:solidFill>
                </w14:textFill>
              </w:rPr>
              <w:t>出水浓度</w:t>
            </w:r>
            <w:bookmarkEnd w:id="70"/>
          </w:p>
        </w:tc>
        <w:tc>
          <w:tcPr>
            <w:tcW w:w="111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1" w:name="_Toc184805886"/>
            <w:r>
              <w:rPr>
                <w:bCs/>
                <w:color w:val="000000" w:themeColor="text1"/>
                <w:sz w:val="21"/>
                <w:szCs w:val="21"/>
                <w14:textFill>
                  <w14:solidFill>
                    <w14:schemeClr w14:val="tx1"/>
                  </w14:solidFill>
                </w14:textFill>
              </w:rPr>
              <w:t>45.4</w:t>
            </w:r>
            <w:bookmarkEnd w:id="71"/>
          </w:p>
        </w:tc>
        <w:tc>
          <w:tcPr>
            <w:tcW w:w="97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2" w:name="_Toc184805887"/>
            <w:r>
              <w:rPr>
                <w:bCs/>
                <w:color w:val="000000" w:themeColor="text1"/>
                <w:sz w:val="21"/>
                <w:szCs w:val="21"/>
                <w14:textFill>
                  <w14:solidFill>
                    <w14:schemeClr w14:val="tx1"/>
                  </w14:solidFill>
                </w14:textFill>
              </w:rPr>
              <w:t>9.2</w:t>
            </w:r>
            <w:bookmarkEnd w:id="72"/>
          </w:p>
        </w:tc>
        <w:tc>
          <w:tcPr>
            <w:tcW w:w="94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3" w:name="_Toc184805888"/>
            <w:r>
              <w:rPr>
                <w:bCs/>
                <w:color w:val="000000" w:themeColor="text1"/>
                <w:sz w:val="21"/>
                <w:szCs w:val="21"/>
                <w14:textFill>
                  <w14:solidFill>
                    <w14:schemeClr w14:val="tx1"/>
                  </w14:solidFill>
                </w14:textFill>
              </w:rPr>
              <w:t>7.6</w:t>
            </w:r>
            <w:bookmarkEnd w:id="73"/>
          </w:p>
        </w:tc>
        <w:tc>
          <w:tcPr>
            <w:tcW w:w="113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4" w:name="_Toc184805889"/>
            <w:r>
              <w:rPr>
                <w:bCs/>
                <w:color w:val="000000" w:themeColor="text1"/>
                <w:sz w:val="21"/>
                <w:szCs w:val="21"/>
                <w14:textFill>
                  <w14:solidFill>
                    <w14:schemeClr w14:val="tx1"/>
                  </w14:solidFill>
                </w14:textFill>
              </w:rPr>
              <w:t>5.4</w:t>
            </w:r>
            <w:bookmarkEnd w:id="74"/>
          </w:p>
        </w:tc>
        <w:tc>
          <w:tcPr>
            <w:tcW w:w="951"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5" w:name="_Toc184805890"/>
            <w:r>
              <w:rPr>
                <w:bCs/>
                <w:color w:val="000000" w:themeColor="text1"/>
                <w:sz w:val="21"/>
                <w:szCs w:val="21"/>
                <w14:textFill>
                  <w14:solidFill>
                    <w14:schemeClr w14:val="tx1"/>
                  </w14:solidFill>
                </w14:textFill>
              </w:rPr>
              <w:t>13.5</w:t>
            </w:r>
            <w:bookmarkEnd w:id="75"/>
          </w:p>
        </w:tc>
        <w:tc>
          <w:tcPr>
            <w:tcW w:w="942"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6" w:name="_Toc184805891"/>
            <w:r>
              <w:rPr>
                <w:bCs/>
                <w:color w:val="000000" w:themeColor="text1"/>
                <w:sz w:val="21"/>
                <w:szCs w:val="21"/>
                <w14:textFill>
                  <w14:solidFill>
                    <w14:schemeClr w14:val="tx1"/>
                  </w14:solidFill>
                </w14:textFill>
              </w:rPr>
              <w:t>0.5</w:t>
            </w:r>
            <w:bookmarkEnd w:id="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48" w:type="dxa"/>
            <w:gridSpan w:val="2"/>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7" w:name="_Toc184805892"/>
            <w:r>
              <w:rPr>
                <w:bCs/>
                <w:color w:val="000000" w:themeColor="text1"/>
                <w:sz w:val="21"/>
                <w:szCs w:val="21"/>
                <w14:textFill>
                  <w14:solidFill>
                    <w14:schemeClr w14:val="tx1"/>
                  </w14:solidFill>
                </w14:textFill>
              </w:rPr>
              <w:t>总去除率</w:t>
            </w:r>
            <w:bookmarkEnd w:id="77"/>
          </w:p>
        </w:tc>
        <w:tc>
          <w:tcPr>
            <w:tcW w:w="111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8" w:name="_Toc184805893"/>
            <w:r>
              <w:rPr>
                <w:bCs/>
                <w:color w:val="000000" w:themeColor="text1"/>
                <w:sz w:val="21"/>
                <w:szCs w:val="21"/>
                <w14:textFill>
                  <w14:solidFill>
                    <w14:schemeClr w14:val="tx1"/>
                  </w14:solidFill>
                </w14:textFill>
              </w:rPr>
              <w:t>83</w:t>
            </w:r>
            <w:bookmarkEnd w:id="78"/>
          </w:p>
        </w:tc>
        <w:tc>
          <w:tcPr>
            <w:tcW w:w="97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79" w:name="_Toc184805894"/>
            <w:r>
              <w:rPr>
                <w:bCs/>
                <w:color w:val="000000" w:themeColor="text1"/>
                <w:sz w:val="21"/>
                <w:szCs w:val="21"/>
                <w14:textFill>
                  <w14:solidFill>
                    <w14:schemeClr w14:val="tx1"/>
                  </w14:solidFill>
                </w14:textFill>
              </w:rPr>
              <w:t>90</w:t>
            </w:r>
            <w:bookmarkEnd w:id="79"/>
          </w:p>
        </w:tc>
        <w:tc>
          <w:tcPr>
            <w:tcW w:w="94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0" w:name="_Toc184805895"/>
            <w:r>
              <w:rPr>
                <w:bCs/>
                <w:color w:val="000000" w:themeColor="text1"/>
                <w:sz w:val="21"/>
                <w:szCs w:val="21"/>
                <w14:textFill>
                  <w14:solidFill>
                    <w14:schemeClr w14:val="tx1"/>
                  </w14:solidFill>
                </w14:textFill>
              </w:rPr>
              <w:t>90</w:t>
            </w:r>
            <w:bookmarkEnd w:id="80"/>
          </w:p>
        </w:tc>
        <w:tc>
          <w:tcPr>
            <w:tcW w:w="113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1" w:name="_Toc184805896"/>
            <w:r>
              <w:rPr>
                <w:bCs/>
                <w:color w:val="000000" w:themeColor="text1"/>
                <w:sz w:val="21"/>
                <w:szCs w:val="21"/>
                <w14:textFill>
                  <w14:solidFill>
                    <w14:schemeClr w14:val="tx1"/>
                  </w14:solidFill>
                </w14:textFill>
              </w:rPr>
              <w:t>88</w:t>
            </w:r>
            <w:bookmarkEnd w:id="81"/>
          </w:p>
        </w:tc>
        <w:tc>
          <w:tcPr>
            <w:tcW w:w="951"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2" w:name="_Toc184805897"/>
            <w:r>
              <w:rPr>
                <w:bCs/>
                <w:color w:val="000000" w:themeColor="text1"/>
                <w:sz w:val="21"/>
                <w:szCs w:val="21"/>
                <w14:textFill>
                  <w14:solidFill>
                    <w14:schemeClr w14:val="tx1"/>
                  </w14:solidFill>
                </w14:textFill>
              </w:rPr>
              <w:t>73</w:t>
            </w:r>
            <w:bookmarkEnd w:id="82"/>
          </w:p>
        </w:tc>
        <w:tc>
          <w:tcPr>
            <w:tcW w:w="942"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3" w:name="_Toc184805898"/>
            <w:r>
              <w:rPr>
                <w:bCs/>
                <w:color w:val="000000" w:themeColor="text1"/>
                <w:sz w:val="21"/>
                <w:szCs w:val="21"/>
                <w14:textFill>
                  <w14:solidFill>
                    <w14:schemeClr w14:val="tx1"/>
                  </w14:solidFill>
                </w14:textFill>
              </w:rPr>
              <w:t>80</w:t>
            </w:r>
            <w:bookmark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48" w:type="dxa"/>
            <w:gridSpan w:val="2"/>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4" w:name="_Toc184805899"/>
            <w:r>
              <w:rPr>
                <w:bCs/>
                <w:color w:val="000000" w:themeColor="text1"/>
                <w:sz w:val="21"/>
                <w:szCs w:val="21"/>
                <w14:textFill>
                  <w14:solidFill>
                    <w14:schemeClr w14:val="tx1"/>
                  </w14:solidFill>
                </w14:textFill>
              </w:rPr>
              <w:t>排放标准</w:t>
            </w:r>
            <w:bookmarkEnd w:id="84"/>
          </w:p>
        </w:tc>
        <w:tc>
          <w:tcPr>
            <w:tcW w:w="111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5" w:name="_Toc184805900"/>
            <w:r>
              <w:rPr>
                <w:bCs/>
                <w:color w:val="000000" w:themeColor="text1"/>
                <w:sz w:val="21"/>
                <w:szCs w:val="21"/>
                <w14:textFill>
                  <w14:solidFill>
                    <w14:schemeClr w14:val="tx1"/>
                  </w14:solidFill>
                </w14:textFill>
              </w:rPr>
              <w:t>60</w:t>
            </w:r>
            <w:bookmarkEnd w:id="85"/>
          </w:p>
        </w:tc>
        <w:tc>
          <w:tcPr>
            <w:tcW w:w="97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6" w:name="_Toc184805901"/>
            <w:r>
              <w:rPr>
                <w:bCs/>
                <w:color w:val="000000" w:themeColor="text1"/>
                <w:sz w:val="21"/>
                <w:szCs w:val="21"/>
                <w14:textFill>
                  <w14:solidFill>
                    <w14:schemeClr w14:val="tx1"/>
                  </w14:solidFill>
                </w14:textFill>
              </w:rPr>
              <w:t>20</w:t>
            </w:r>
            <w:bookmarkEnd w:id="86"/>
          </w:p>
        </w:tc>
        <w:tc>
          <w:tcPr>
            <w:tcW w:w="948"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7" w:name="_Toc184805902"/>
            <w:r>
              <w:rPr>
                <w:bCs/>
                <w:color w:val="000000" w:themeColor="text1"/>
                <w:sz w:val="21"/>
                <w:szCs w:val="21"/>
                <w14:textFill>
                  <w14:solidFill>
                    <w14:schemeClr w14:val="tx1"/>
                  </w14:solidFill>
                </w14:textFill>
              </w:rPr>
              <w:t>20</w:t>
            </w:r>
            <w:bookmarkEnd w:id="87"/>
          </w:p>
        </w:tc>
        <w:tc>
          <w:tcPr>
            <w:tcW w:w="1139"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8" w:name="_Toc184805903"/>
            <w:r>
              <w:rPr>
                <w:bCs/>
                <w:color w:val="000000" w:themeColor="text1"/>
                <w:sz w:val="21"/>
                <w:szCs w:val="21"/>
                <w14:textFill>
                  <w14:solidFill>
                    <w14:schemeClr w14:val="tx1"/>
                  </w14:solidFill>
                </w14:textFill>
              </w:rPr>
              <w:t>8</w:t>
            </w:r>
            <w:bookmarkEnd w:id="88"/>
          </w:p>
        </w:tc>
        <w:tc>
          <w:tcPr>
            <w:tcW w:w="951"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89" w:name="_Toc184805904"/>
            <w:r>
              <w:rPr>
                <w:bCs/>
                <w:color w:val="000000" w:themeColor="text1"/>
                <w:sz w:val="21"/>
                <w:szCs w:val="21"/>
                <w14:textFill>
                  <w14:solidFill>
                    <w14:schemeClr w14:val="tx1"/>
                  </w14:solidFill>
                </w14:textFill>
              </w:rPr>
              <w:t>20</w:t>
            </w:r>
            <w:bookmarkEnd w:id="89"/>
          </w:p>
        </w:tc>
        <w:tc>
          <w:tcPr>
            <w:tcW w:w="942" w:type="dxa"/>
            <w:vAlign w:val="center"/>
          </w:tcPr>
          <w:p>
            <w:pPr>
              <w:spacing w:line="240" w:lineRule="auto"/>
              <w:ind w:firstLine="0" w:firstLineChars="0"/>
              <w:jc w:val="center"/>
              <w:outlineLvl w:val="0"/>
              <w:rPr>
                <w:bCs/>
                <w:color w:val="000000" w:themeColor="text1"/>
                <w:sz w:val="21"/>
                <w:szCs w:val="21"/>
                <w14:textFill>
                  <w14:solidFill>
                    <w14:schemeClr w14:val="tx1"/>
                  </w14:solidFill>
                </w14:textFill>
              </w:rPr>
            </w:pPr>
            <w:bookmarkStart w:id="90" w:name="_Toc184805905"/>
            <w:r>
              <w:rPr>
                <w:bCs/>
                <w:color w:val="000000" w:themeColor="text1"/>
                <w:sz w:val="21"/>
                <w:szCs w:val="21"/>
                <w14:textFill>
                  <w14:solidFill>
                    <w14:schemeClr w14:val="tx1"/>
                  </w14:solidFill>
                </w14:textFill>
              </w:rPr>
              <w:t>1</w:t>
            </w:r>
            <w:bookmarkEnd w:id="90"/>
          </w:p>
        </w:tc>
      </w:tr>
    </w:tbl>
    <w:p>
      <w:pPr>
        <w:spacing w:before="156" w:beforeLines="50"/>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本项目工艺，具有良好的去除COD、脱氮除磷效果，排放</w:t>
      </w:r>
      <w:r>
        <w:rPr>
          <w:rFonts w:hint="eastAsia"/>
          <w:color w:val="000000" w:themeColor="text1"/>
          <w:lang w:val="zh-CN"/>
          <w14:textFill>
            <w14:solidFill>
              <w14:schemeClr w14:val="tx1"/>
            </w14:solidFill>
          </w14:textFill>
        </w:rPr>
        <w:t>尾水</w:t>
      </w:r>
      <w:r>
        <w:rPr>
          <w:color w:val="000000" w:themeColor="text1"/>
          <w:lang w:val="zh-CN"/>
          <w14:textFill>
            <w14:solidFill>
              <w14:schemeClr w14:val="tx1"/>
            </w14:solidFill>
          </w14:textFill>
        </w:rPr>
        <w:t>能够达到《城镇污水处理厂污染物排放标准》（GB 18918－2002）一级B标准</w:t>
      </w:r>
      <w:r>
        <w:rPr>
          <w:rFonts w:hint="eastAsia"/>
          <w:color w:val="000000" w:themeColor="text1"/>
          <w:lang w:val="zh-CN"/>
          <w14:textFill>
            <w14:solidFill>
              <w14:schemeClr w14:val="tx1"/>
            </w14:solidFill>
          </w14:textFill>
        </w:rPr>
        <w:t>。</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1" w:name="_Toc184805906"/>
      <w:r>
        <w:rPr>
          <w:rFonts w:hint="eastAsia"/>
          <w:color w:val="000000" w:themeColor="text1"/>
          <w14:textFill>
            <w14:solidFill>
              <w14:schemeClr w14:val="tx1"/>
            </w14:solidFill>
          </w14:textFill>
        </w:rPr>
        <w:t>项目所在区域概况</w:t>
      </w:r>
      <w:bookmarkEnd w:id="91"/>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自然环境</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（1）地理位置</w:t>
      </w:r>
    </w:p>
    <w:p>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彭水苗族土家族自治县，隶属重庆市。位于重庆市东南部，北连石柱县，东北接利川市，东连黔江区，东南接酉阳县，南邻沿河县、务川县，西南连道真县，西连武隆区，西北接丰都县，总面积3903.79平方千米。</w:t>
      </w:r>
    </w:p>
    <w:p>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大同镇，隶属于重庆市彭水苗族土家族自治县，地处彭水苗族土家族自治县东部，东和黔江区接壤，南与桐楼乡为邻，西接桑柘镇，北与走马乡、龙溪镇为邻，距彭水苗族土家族自治县政府驻地60千米，区域总面积47.66平方千米</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hAnsi="宋体"/>
          <w:bCs/>
          <w:color w:val="000000" w:themeColor="text1"/>
          <w14:textFill>
            <w14:solidFill>
              <w14:schemeClr w14:val="tx1"/>
            </w14:solidFill>
          </w14:textFill>
        </w:rPr>
        <w:t>大同镇</w:t>
      </w:r>
      <w:r>
        <w:rPr>
          <w:rFonts w:hint="eastAsia"/>
          <w:color w:val="000000" w:themeColor="text1"/>
          <w14:textFill>
            <w14:solidFill>
              <w14:schemeClr w14:val="tx1"/>
            </w14:solidFill>
          </w14:textFill>
        </w:rPr>
        <w:t>大厂村一组</w:t>
      </w:r>
      <w:r>
        <w:rPr>
          <w:rFonts w:hint="eastAsia" w:hAnsi="宋体"/>
          <w:bCs/>
          <w:color w:val="000000" w:themeColor="text1"/>
          <w14:textFill>
            <w14:solidFill>
              <w14:schemeClr w14:val="tx1"/>
            </w14:solidFill>
          </w14:textFill>
        </w:rPr>
        <w:t>。</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（2）地形、地貌及地质特征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彭水县地质构造属新华构造体系，位于渝鄂黔隆起带向渝东中台坳下降的斜坡上。晚侏罗系至晚白垩世间燕山旋回的宁镇运动，以水平挤压为主，形成老厂坪背斜、普子向斜、郁山背斜、桑柘坪向斜、筲箕滩背斜等规模巨大的北北东向褶皱及筲箕滩、七梁子冲断层等伴生断裂。第三纪开始的喜马拉雅运动中，使县境普遍间歇性而又不均衡抬升，造成郁山一马武（石柱县境）及太原、棣棠、三岔溪、诸佛、桐楼、大园、龙塘、弹子岍正断层和火石垭、龙洋、大垭、石盘逆掩断层以及筲箕滩冲断层等，形成北北东向岭谷相间的原始地貌。出露地层主要有元古界震旦系、古生界寒武系、古生界奥陶系、古生界志留系、古生界泥盆系、古生界二叠系、中生界三叠系、中生界侏罗系及新生界第四系。 </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地势西北高而东南低，为构造剥蚀的中、低山地形。地貌类型复杂，“两山夹一槽”是主要特征。地形地貌受北北东向构造控制，主要山脉呈北北东向延伸，成层现象明显，谷地、坡麓、岩溶洼地及小型山间盆地相间，逆顺地貌并存。各类地貌中丘陵河谷区占13.39%，低山区占52.88%，中山区占34.03%。</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大同镇地处大厂盖顶部中山地带，地势北高南低；地形分为丘陵，山地；境内最高峰神仙堡位于大河村，海拔1480米；最低点十字岩位于大厂村，海拔1000米。</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气候条件</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彭水县属亚热带湿润季风气候，四季分明，其主要特点为春季日气温升高快，夏季多伏旱、暴雨，秋季多绵雨，冬季干冷。根据彭水县气象站多年资料统计：平均气温为17.6℃，冬季极端最低气温为-3.8℃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2008年1月19日)，夏季极端最高气温达44.1℃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1990年8月26日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，无霜期长达310天左右。多年平均相对湿度78%；多年平均蒸发量（20cm 蒸发器）987.8mm；多年平均风速0.8m/s，多年平均最大风速13.2m/s，多年瞬时最大风速33.0m/s（1992年8月16日）；区内雨量丰富，多年平均年降雨量1233mm，年最大降雨量1584.9mm（1998年），年最小降雨量890.7mm（1966年）；区内日降雨量为297.6mm（1982年7月28日），过程总降雨量为316.4mm，1小时最大降雨量为58.4mm；降水在年内分配上不均，降雨多集中在4～10月，占全年降雨量的85.8%</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水文特征</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（1）地表水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彭水县境内河流众多，流域面积大于50平方公里，终年流水不断的河流有20条（不含乌江），其中流域面积大于500平方公里的河流有5条（郁江、长溪河、诸佛江、芙蓉江、 普子河）；100-500平方公里流域面积的河流有中井河、后灶河、棣棠河、木棕河等15条河流。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是乌江右岸的一级支流，发源于黔江区的王家弯，由西向东经石中溪，在风相坪转为由北向南经鹿子坪，在王家岩进入彭水县境，由东北向西南在梅子坝又转为由东向西经何家弯后，又由东北向西南经诸佛寺、倒朝门、谭家坝，在龙门峡汇入乌江。主河道全长60.09公里，其中彭水县境内河段长44公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诸佛江东北邻阿蓬江，南接乌江，西与郁江相邻，以西山盖、小厂盖为分水岭。地理位置介于东经108°18.2′—108°30′，北纬29°07.5′—29°25.7′之间。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诸佛江源头水面高程700米。与乌江汇合口高程226.6米，天然落差473.4米，河床平均坡降9.5‰，其中黔江段落差230米，平均河床坡降13.53‰，彭水段落差243.4米，平均河床坡降5.65‰。</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本项目受纳水体为诸佛江，污水处理厂内经处理达标的尾水经小溪沟排入诸佛江。</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（2）地下水</w:t>
      </w:r>
    </w:p>
    <w:p>
      <w:pPr>
        <w:ind w:firstLine="480"/>
        <w:rPr>
          <w:color w:val="000000" w:themeColor="text1"/>
          <w14:textFill>
            <w14:solidFill>
              <w14:schemeClr w14:val="tx1"/>
            </w14:solidFill>
          </w14:textFill>
        </w:rPr>
        <w:sectPr>
          <w:footerReference r:id="rId17" w:type="default"/>
          <w:pgSz w:w="11906" w:h="16838"/>
          <w:pgMar w:top="1440" w:right="1800" w:bottom="1440" w:left="1800" w:header="851" w:footer="992" w:gutter="0"/>
          <w:cols w:space="425" w:num="1"/>
          <w:docGrid w:type="lines" w:linePitch="312" w:charSpace="0"/>
        </w:sectPr>
      </w:pPr>
      <w:r>
        <w:rPr>
          <w:rFonts w:hint="eastAsia"/>
          <w:color w:val="000000" w:themeColor="text1"/>
          <w14:textFill>
            <w14:solidFill>
              <w14:schemeClr w14:val="tx1"/>
            </w14:solidFill>
          </w14:textFill>
        </w:rPr>
        <w:t>彭水县地下水储量大，类型多，分布广。据南江水文地质大队的资料及调查统计，全县有暗河47条，地下水出露点666处，流量大于20升/秒的大泉有34个。地下水储量15.44亿立方米，多年平均出露量7.96亿立方米。根据地层岩性和赋存条件，地下水分为三大类型：即碳酸盐岩裂隙溶洞水，分布面积占幅员面积的53.5%，年均径流量14.04亿立方米；基岩裂隙孔隙水，本类型地下水主要有风化带孔隙裂隙水和构造断裂带孔隙裂隙水，分布面积占幅员面积的22.8%，年均径流量0.35亿立方米；碳酸盐岩夹碎屑裂隙溶洞水，分布面积为幅员面积的23.7%，年均径流量1.05亿立方米。</w:t>
      </w:r>
    </w:p>
    <w:p>
      <w:pPr>
        <w:pStyle w:val="42"/>
        <w:ind w:left="0" w:firstLine="0"/>
        <w:rPr>
          <w:color w:val="000000" w:themeColor="text1"/>
          <w14:textFill>
            <w14:solidFill>
              <w14:schemeClr w14:val="tx1"/>
            </w14:solidFill>
          </w14:textFill>
        </w:rPr>
      </w:pPr>
      <w:bookmarkStart w:id="92" w:name="_Toc184805907"/>
      <w:bookmarkStart w:id="93" w:name="_Toc163637572"/>
      <w:r>
        <w:rPr>
          <w:rFonts w:hint="eastAsia"/>
          <w:color w:val="000000" w:themeColor="text1"/>
          <w14:textFill>
            <w14:solidFill>
              <w14:schemeClr w14:val="tx1"/>
            </w14:solidFill>
          </w14:textFill>
        </w:rPr>
        <w:t>水功能区（水域）管理要求和现有取水状况</w:t>
      </w:r>
      <w:bookmarkEnd w:id="92"/>
      <w:bookmarkEnd w:id="93"/>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4" w:name="_Toc184805908"/>
      <w:r>
        <w:rPr>
          <w:rFonts w:hint="eastAsia"/>
          <w:color w:val="000000" w:themeColor="text1"/>
          <w14:textFill>
            <w14:solidFill>
              <w14:schemeClr w14:val="tx1"/>
            </w14:solidFill>
          </w14:textFill>
        </w:rPr>
        <w:t>水功能区（水域）管理目标与要求</w:t>
      </w:r>
      <w:bookmarkEnd w:id="94"/>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功能区划分标准》，水功能区分为水功能一级区和水功能二级区。一级功能区分为保护区、保留区、开发利用区和缓冲区四类。二级功能区分为饮用水源区、工业用水区、农业用水区、渔业用水区、景观娱乐用水区、过渡区、排污控制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彭水县水功能区划修编报告》，彭水县划分的一级水功能区河流有：长溪河、诸佛江、中井河、木棕河、棣棠河、后灶河、太原河、跳蹬河、里头河、大湾河、银厂沟、大青河、沙坝河、龙洋河、白溪河、黄家坝河、冬瓜溪、灰溪河、干溪河、下潭溪、岔河、新田河、高谷河、何家河、水田溪、九曲河、靛水河。二级水功能区河流有：长溪河、诸佛江、中井河、木棕河、棣棠河、后灶河、太原河、龙洋河、黄家坝河、冬瓜溪、新田河、九曲河、靛水河。</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w:t>
      </w:r>
      <w:r>
        <w:rPr>
          <w:rFonts w:cs="Times New Roman"/>
          <w:color w:val="000000" w:themeColor="text1"/>
          <w14:textFill>
            <w14:solidFill>
              <w14:schemeClr w14:val="tx1"/>
            </w14:solidFill>
          </w14:textFill>
        </w:rPr>
        <w:t>于厂区</w:t>
      </w:r>
      <w:r>
        <w:rPr>
          <w:rFonts w:hint="eastAsia" w:cs="Times New Roman"/>
          <w:color w:val="000000" w:themeColor="text1"/>
          <w14:textFill>
            <w14:solidFill>
              <w14:schemeClr w14:val="tx1"/>
            </w14:solidFill>
          </w14:textFill>
        </w:rPr>
        <w:t>南侧诸佛江支流小溪沟右岸</w:t>
      </w:r>
      <w:r>
        <w:rPr>
          <w:rFonts w:hint="eastAsia"/>
          <w:color w:val="000000" w:themeColor="text1"/>
          <w14:textFill>
            <w14:solidFill>
              <w14:schemeClr w14:val="tx1"/>
            </w14:solidFill>
          </w14:textFill>
        </w:rPr>
        <w:t>，其一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“诸佛江诸佛鹿角景观娱乐用水区”。</w:t>
      </w:r>
    </w:p>
    <w:p>
      <w:pPr>
        <w:pStyle w:val="3"/>
        <w:rPr>
          <w:color w:val="000000" w:themeColor="text1"/>
          <w14:textFill>
            <w14:solidFill>
              <w14:schemeClr w14:val="tx1"/>
            </w14:solidFill>
          </w14:textFill>
        </w:rPr>
      </w:pPr>
      <w:bookmarkStart w:id="95" w:name="_Toc184805909"/>
      <w:r>
        <w:rPr>
          <w:rFonts w:hint="eastAsia"/>
          <w:color w:val="000000" w:themeColor="text1"/>
          <w14:textFill>
            <w14:solidFill>
              <w14:schemeClr w14:val="tx1"/>
            </w14:solidFill>
          </w14:textFill>
        </w:rPr>
        <w:t>水功能区纳污能力及限制排放总量</w:t>
      </w:r>
      <w:bookmarkEnd w:id="95"/>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水功能区的纳污能力和实际污染物入河量，综合考虑水功能区水质状况、当地技术经济条件和经济社会发展水平，在确定的时间内，允许污染物进入水功能区的最大数量，称为限制排污总量。限制排污总量是分阶段实施水功能区水质管理的依据。不同的水功能区限制排污总量按不同的方法分别确定，同一水功能区不同水平年限制排污总量可以不同。</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重要江河湖泊水功能区限制排污总量，应在核定水域纳污能力的基础上，结合《全国水资源综合规划》和各流域综合规划修编成果、区域经济技术水平、河流水资源配置等因素，严格控制入河排污总量，综合确定重要江河湖泊水功能区分阶段限制排污总量方案。</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水功能区纳污能力主要用于控制水环境质量，它是制定水资源保护规划和经济发展规划的依据。排入水功能区污染物量应受其纳污能力的控制，如果超出纳污能力必须采取削减污染源排污总量、增加污水处理等措施，减少污染物入河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大同镇污水处理厂排污口位于诸佛江右岸，污水处理厂南侧小溪沟。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纳污能力和</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诸佛江</w:t>
            </w:r>
          </w:p>
        </w:tc>
        <w:tc>
          <w:tcPr>
            <w:tcW w:w="1904" w:type="dxa"/>
            <w:shd w:val="clear" w:color="auto" w:fill="auto"/>
            <w:vAlign w:val="center"/>
          </w:tcPr>
          <w:p>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诸佛江诸佛鹿角开发利用区</w:t>
            </w:r>
          </w:p>
        </w:tc>
        <w:tc>
          <w:tcPr>
            <w:tcW w:w="1808" w:type="dxa"/>
            <w:shd w:val="clear" w:color="auto" w:fill="auto"/>
            <w:vAlign w:val="center"/>
          </w:tcPr>
          <w:p>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诸佛江诸佛鹿角景观娱乐用水区</w:t>
            </w:r>
          </w:p>
        </w:tc>
        <w:tc>
          <w:tcPr>
            <w:tcW w:w="1591" w:type="dxa"/>
            <w:shd w:val="clear" w:color="auto" w:fill="auto"/>
            <w:vAlign w:val="center"/>
          </w:tcPr>
          <w:p>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149.65</w:t>
            </w:r>
          </w:p>
        </w:tc>
        <w:tc>
          <w:tcPr>
            <w:tcW w:w="1214" w:type="dxa"/>
            <w:shd w:val="clear" w:color="auto" w:fill="auto"/>
            <w:vAlign w:val="center"/>
          </w:tcPr>
          <w:p>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7.90</w:t>
            </w:r>
          </w:p>
        </w:tc>
      </w:tr>
    </w:tbl>
    <w:p>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29"/>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诸佛江</w:t>
            </w:r>
          </w:p>
        </w:tc>
        <w:tc>
          <w:tcPr>
            <w:tcW w:w="1904" w:type="dxa"/>
            <w:shd w:val="clear" w:color="auto" w:fill="auto"/>
            <w:vAlign w:val="center"/>
          </w:tcPr>
          <w:p>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诸佛江诸佛鹿角开发利用区</w:t>
            </w:r>
          </w:p>
        </w:tc>
        <w:tc>
          <w:tcPr>
            <w:tcW w:w="1808" w:type="dxa"/>
            <w:shd w:val="clear" w:color="auto" w:fill="auto"/>
            <w:vAlign w:val="center"/>
          </w:tcPr>
          <w:p>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诸佛江诸佛鹿角景观娱乐用水区</w:t>
            </w:r>
          </w:p>
        </w:tc>
        <w:tc>
          <w:tcPr>
            <w:tcW w:w="1591" w:type="dxa"/>
            <w:shd w:val="clear" w:color="auto" w:fill="auto"/>
            <w:vAlign w:val="center"/>
          </w:tcPr>
          <w:p>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47.45</w:t>
            </w:r>
          </w:p>
        </w:tc>
        <w:tc>
          <w:tcPr>
            <w:tcW w:w="1214" w:type="dxa"/>
            <w:shd w:val="clear" w:color="auto" w:fill="auto"/>
            <w:vAlign w:val="center"/>
          </w:tcPr>
          <w:p>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4.75</w:t>
            </w:r>
          </w:p>
        </w:tc>
      </w:tr>
    </w:tbl>
    <w:p>
      <w:pPr>
        <w:spacing w:before="312" w:beforeLines="100"/>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结合调查</w:t>
      </w:r>
      <w:r>
        <w:rPr>
          <w:rFonts w:hint="eastAsia" w:cs="Times New Roman"/>
          <w:color w:val="000000" w:themeColor="text1"/>
          <w14:textFill>
            <w14:solidFill>
              <w14:schemeClr w14:val="tx1"/>
            </w14:solidFill>
          </w14:textFill>
        </w:rPr>
        <w:t>，根据《入河排污口管理技术导则》（SL532-2011）“5.3.6 2）水域纳污能力应采取各级水行政主管部门或流域管理机构核定的数据，未核定纳污能力的水域，应按 SL348 的规定和水功能区管理要求核算纳污能力。”而且《彭水县水功能区纳污能力核定和分阶段限制排污总量控制方案报告（2012）》中核定数据基准年为2</w:t>
      </w:r>
      <w:r>
        <w:rPr>
          <w:rFonts w:cs="Times New Roman"/>
          <w:color w:val="000000" w:themeColor="text1"/>
          <w14:textFill>
            <w14:solidFill>
              <w14:schemeClr w14:val="tx1"/>
            </w14:solidFill>
          </w14:textFill>
        </w:rPr>
        <w:t>012年</w:t>
      </w:r>
      <w:r>
        <w:rPr>
          <w:rFonts w:hint="eastAsia" w:cs="Times New Roman"/>
          <w:color w:val="000000" w:themeColor="text1"/>
          <w14:textFill>
            <w14:solidFill>
              <w14:schemeClr w14:val="tx1"/>
            </w14:solidFill>
          </w14:textFill>
        </w:rPr>
        <w:t>，基础数据与现有状况可能存在差异，《彭水县水功能区纳污能力核定和分阶段限制排污总量控制方案报告（2012）》中的数据，不能完全代表现在水功能区的情况，因此，为了能真实反映水功能区的纳污能力，本次论证将根据《水域纳污能力计算规程》（SL348-2006）对诸佛江诸佛鹿角景观娱乐用水区进行水域纳污能力核算。</w:t>
      </w:r>
    </w:p>
    <w:p>
      <w:pPr>
        <w:ind w:firstLine="480"/>
        <w:rPr>
          <w:color w:val="000000" w:themeColor="text1"/>
          <w:szCs w:val="26"/>
          <w:lang w:val="zh-CN"/>
          <w14:textFill>
            <w14:solidFill>
              <w14:schemeClr w14:val="tx1"/>
            </w14:solidFill>
          </w14:textFill>
        </w:rPr>
      </w:pPr>
      <w:r>
        <w:rPr>
          <w:rFonts w:hint="eastAsia"/>
          <w:color w:val="000000" w:themeColor="text1"/>
          <w:szCs w:val="26"/>
          <w:lang w:val="zh-CN"/>
          <w14:textFill>
            <w14:solidFill>
              <w14:schemeClr w14:val="tx1"/>
            </w14:solidFill>
          </w14:textFill>
        </w:rPr>
        <w:t>（</w:t>
      </w:r>
      <w:r>
        <w:rPr>
          <w:color w:val="000000" w:themeColor="text1"/>
          <w:szCs w:val="26"/>
          <w:lang w:val="zh-CN"/>
          <w14:textFill>
            <w14:solidFill>
              <w14:schemeClr w14:val="tx1"/>
            </w14:solidFill>
          </w14:textFill>
        </w:rPr>
        <w:t>1）</w:t>
      </w:r>
      <w:r>
        <w:rPr>
          <w:color w:val="000000" w:themeColor="text1"/>
          <w14:textFill>
            <w14:solidFill>
              <w14:schemeClr w14:val="tx1"/>
            </w14:solidFill>
          </w14:textFill>
        </w:rPr>
        <w:t>测算模型</w:t>
      </w:r>
    </w:p>
    <w:p>
      <w:pPr>
        <w:ind w:firstLine="480"/>
        <w:rPr>
          <w:color w:val="000000" w:themeColor="text1"/>
          <w:szCs w:val="26"/>
          <w:lang w:val="zh-CN"/>
          <w14:textFill>
            <w14:solidFill>
              <w14:schemeClr w14:val="tx1"/>
            </w14:solidFill>
          </w14:textFill>
        </w:rPr>
      </w:pPr>
      <w:r>
        <w:rPr>
          <w:color w:val="000000" w:themeColor="text1"/>
          <w14:textFill>
            <w14:solidFill>
              <w14:schemeClr w14:val="tx1"/>
            </w14:solidFill>
          </w14:textFill>
        </w:rPr>
        <w:t>对于河流而言</w:t>
      </w:r>
      <w:r>
        <w:rPr>
          <w:color w:val="000000" w:themeColor="text1"/>
          <w:szCs w:val="26"/>
          <w:lang w:val="zh-CN"/>
          <w14:textFill>
            <w14:solidFill>
              <w14:schemeClr w14:val="tx1"/>
            </w14:solidFill>
          </w14:textFill>
        </w:rPr>
        <w:t>，一维模型假定污染物浓度仅在河流纵向上发生变化，主要适用于同时满足以下条件的河段：</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hint="eastAsia" w:ascii="宋体" w:hAnsi="宋体" w:cs="宋体"/>
          <w:color w:val="000000" w:themeColor="text1"/>
          <w:szCs w:val="26"/>
          <w:lang w:val="zh-CN"/>
          <w14:textFill>
            <w14:solidFill>
              <w14:schemeClr w14:val="tx1"/>
            </w14:solidFill>
          </w14:textFill>
        </w:rPr>
        <w:t>①</w:t>
      </w:r>
      <w:r>
        <w:rPr>
          <w:rFonts w:ascii="Times New Roman" w:hAnsi="Times New Roman"/>
          <w:color w:val="000000" w:themeColor="text1"/>
          <w:szCs w:val="26"/>
          <w:lang w:val="zh-CN"/>
          <w14:textFill>
            <w14:solidFill>
              <w14:schemeClr w14:val="tx1"/>
            </w14:solidFill>
          </w14:textFill>
        </w:rPr>
        <w:t>宽浅河段；</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hint="eastAsia" w:ascii="宋体" w:hAnsi="宋体" w:cs="宋体"/>
          <w:color w:val="000000" w:themeColor="text1"/>
          <w:szCs w:val="26"/>
          <w:lang w:val="zh-CN"/>
          <w14:textFill>
            <w14:solidFill>
              <w14:schemeClr w14:val="tx1"/>
            </w14:solidFill>
          </w14:textFill>
        </w:rPr>
        <w:t>②</w:t>
      </w:r>
      <w:r>
        <w:rPr>
          <w:rFonts w:ascii="Times New Roman" w:hAnsi="Times New Roman"/>
          <w:color w:val="000000" w:themeColor="text1"/>
          <w:szCs w:val="26"/>
          <w:lang w:val="zh-CN"/>
          <w14:textFill>
            <w14:solidFill>
              <w14:schemeClr w14:val="tx1"/>
            </w14:solidFill>
          </w14:textFill>
        </w:rPr>
        <w:t>污染物在较短时间内基本能混合均匀；</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hint="eastAsia" w:ascii="宋体" w:hAnsi="宋体" w:cs="宋体"/>
          <w:color w:val="000000" w:themeColor="text1"/>
          <w:szCs w:val="26"/>
          <w:lang w:val="zh-CN"/>
          <w14:textFill>
            <w14:solidFill>
              <w14:schemeClr w14:val="tx1"/>
            </w14:solidFill>
          </w14:textFill>
        </w:rPr>
        <w:t>③</w:t>
      </w:r>
      <w:r>
        <w:rPr>
          <w:rFonts w:ascii="Times New Roman" w:hAnsi="Times New Roman"/>
          <w:color w:val="000000" w:themeColor="text1"/>
          <w:szCs w:val="26"/>
          <w:lang w:val="zh-CN"/>
          <w14:textFill>
            <w14:solidFill>
              <w14:schemeClr w14:val="tx1"/>
            </w14:solidFill>
          </w14:textFill>
        </w:rPr>
        <w:t>污染物浓度在断面横向方向变化不大，横向和垂向的污染物浓度梯度可以忽略。</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如果污染物进入水域后，在一定范围内经过平流输移、纵向离散和横向混合后达到充分混合，或者根据水质管理的精度要求允许不考虑混合过程而假定在某一断面处或某一区域之外实现均匀混合，则不论水体属于江、河、湖、库的任一类，均可按一维问题概化计算条件。</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根据《水域纳污能力计算规程》GB/T25173-2010诸佛江流域属于小河流，采用一维计算模式进行预测。</w:t>
      </w:r>
    </w:p>
    <w:p>
      <w:pPr>
        <w:pStyle w:val="124"/>
        <w:spacing w:line="460" w:lineRule="exact"/>
        <w:ind w:firstLine="480"/>
        <w:jc w:val="center"/>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position w:val="-12"/>
          <w:szCs w:val="26"/>
          <w14:textFill>
            <w14:solidFill>
              <w14:schemeClr w14:val="tx1"/>
            </w14:solidFill>
          </w14:textFill>
        </w:rPr>
        <w:object>
          <v:shape id="_x0000_i1025" o:spt="75" type="#_x0000_t75" style="height:17.65pt;width:78.8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式中：</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u——河流断面平均流速，m/s；</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X——河流纵向距离，m；</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K——综合降解系数，1/s；</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Cx——沿程污染物浓度，mg/L；</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w:t>
      </w:r>
      <w:r>
        <w:rPr>
          <w:rFonts w:ascii="Times New Roman" w:hAnsi="Times New Roman"/>
          <w:color w:val="000000" w:themeColor="text1"/>
          <w:szCs w:val="26"/>
          <w:vertAlign w:val="subscript"/>
          <w:lang w:val="zh-CN"/>
          <w14:textFill>
            <w14:solidFill>
              <w14:schemeClr w14:val="tx1"/>
            </w14:solidFill>
          </w14:textFill>
        </w:rPr>
        <w:t>0</w:t>
      </w:r>
      <w:r>
        <w:rPr>
          <w:rFonts w:ascii="Times New Roman" w:hAnsi="Times New Roman"/>
          <w:color w:val="000000" w:themeColor="text1"/>
          <w:szCs w:val="26"/>
          <w:lang w:val="zh-CN"/>
          <w14:textFill>
            <w14:solidFill>
              <w14:schemeClr w14:val="tx1"/>
            </w14:solidFill>
          </w14:textFill>
        </w:rPr>
        <w:t>——初始断面污染物浓度，mg/L；</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当控制断面符合指定的水质标准时，河流中某种非持久性污染物的环境容量计算公式为：</w:t>
      </w:r>
    </w:p>
    <w:p>
      <w:pPr>
        <w:pStyle w:val="124"/>
        <w:spacing w:line="460" w:lineRule="exact"/>
        <w:ind w:firstLine="480"/>
        <w:jc w:val="center"/>
        <w:rPr>
          <w:rFonts w:ascii="Times New Roman" w:hAnsi="Times New Roman"/>
          <w:color w:val="000000" w:themeColor="text1"/>
          <w:lang w:val="zh-CN"/>
          <w14:textFill>
            <w14:solidFill>
              <w14:schemeClr w14:val="tx1"/>
            </w14:solidFill>
          </w14:textFill>
        </w:rPr>
      </w:pPr>
      <w:r>
        <w:rPr>
          <w:rFonts w:ascii="Times New Roman" w:hAnsi="Times New Roman"/>
          <w:color w:val="000000" w:themeColor="text1"/>
          <w:position w:val="-14"/>
          <w:szCs w:val="26"/>
          <w14:textFill>
            <w14:solidFill>
              <w14:schemeClr w14:val="tx1"/>
            </w14:solidFill>
          </w14:textFill>
        </w:rPr>
        <w:object>
          <v:shape id="_x0000_i1026" o:spt="75" type="#_x0000_t75" style="height:20.4pt;width:129.7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6" r:id="rId22">
            <o:LockedField>false</o:LockedField>
          </o:OLEObject>
        </w:objec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式中:</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W ——环境容量(g/s)</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Qh ——河流枯水期流量（m</w:t>
      </w:r>
      <w:r>
        <w:rPr>
          <w:rFonts w:ascii="Times New Roman" w:hAnsi="Times New Roman"/>
          <w:color w:val="000000" w:themeColor="text1"/>
          <w:szCs w:val="26"/>
          <w:vertAlign w:val="superscript"/>
          <w:lang w:val="zh-CN"/>
          <w14:textFill>
            <w14:solidFill>
              <w14:schemeClr w14:val="tx1"/>
            </w14:solidFill>
          </w14:textFill>
        </w:rPr>
        <w:t>3</w:t>
      </w:r>
      <w:r>
        <w:rPr>
          <w:rFonts w:ascii="Times New Roman" w:hAnsi="Times New Roman"/>
          <w:color w:val="000000" w:themeColor="text1"/>
          <w:szCs w:val="26"/>
          <w:lang w:val="zh-CN"/>
          <w14:textFill>
            <w14:solidFill>
              <w14:schemeClr w14:val="tx1"/>
            </w14:solidFill>
          </w14:textFill>
        </w:rPr>
        <w:t>/s）；</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Qp ——废污水排放流量（m</w:t>
      </w:r>
      <w:r>
        <w:rPr>
          <w:rFonts w:ascii="Times New Roman" w:hAnsi="Times New Roman"/>
          <w:color w:val="000000" w:themeColor="text1"/>
          <w:szCs w:val="26"/>
          <w:vertAlign w:val="superscript"/>
          <w:lang w:val="zh-CN"/>
          <w14:textFill>
            <w14:solidFill>
              <w14:schemeClr w14:val="tx1"/>
            </w14:solidFill>
          </w14:textFill>
        </w:rPr>
        <w:t>3</w:t>
      </w:r>
      <w:r>
        <w:rPr>
          <w:rFonts w:ascii="Times New Roman" w:hAnsi="Times New Roman"/>
          <w:color w:val="000000" w:themeColor="text1"/>
          <w:szCs w:val="26"/>
          <w:lang w:val="zh-CN"/>
          <w14:textFill>
            <w14:solidFill>
              <w14:schemeClr w14:val="tx1"/>
            </w14:solidFill>
          </w14:textFill>
        </w:rPr>
        <w:t>/s）；</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Cx ——河流对照断面的背景浓度(mg/L)；</w:t>
      </w:r>
    </w:p>
    <w:p>
      <w:pPr>
        <w:pStyle w:val="124"/>
        <w:spacing w:line="460" w:lineRule="exact"/>
        <w:ind w:firstLine="1200" w:firstLineChars="50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Cs ——河流水质控制标准浓度(mg/L)；</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次级河流的水环境容量计算时规定：每个计算单元都采用上个计算单元容许排放限值，即水质目标作为设计背景水质，若没有上个计算单元，则采用本计算单元的起始断面浓度作为设计背景水质。</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hint="eastAsia" w:ascii="Times New Roman" w:hAnsi="Times New Roman"/>
          <w:color w:val="000000" w:themeColor="text1"/>
          <w:szCs w:val="26"/>
          <w:lang w:val="zh-CN"/>
          <w14:textFill>
            <w14:solidFill>
              <w14:schemeClr w14:val="tx1"/>
            </w14:solidFill>
          </w14:textFill>
        </w:rPr>
        <w:t>（</w:t>
      </w:r>
      <w:r>
        <w:rPr>
          <w:rFonts w:ascii="Times New Roman" w:hAnsi="Times New Roman"/>
          <w:color w:val="000000" w:themeColor="text1"/>
          <w:szCs w:val="26"/>
          <w:lang w:val="zh-CN"/>
          <w14:textFill>
            <w14:solidFill>
              <w14:schemeClr w14:val="tx1"/>
            </w14:solidFill>
          </w14:textFill>
        </w:rPr>
        <w:t>2）模型参数</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a）水环境质量标准</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根据水功能区划，诸佛江水质要达到Ⅲ类水标准，根据《中华人民共和国地表水环境质量标准》，地表水Ⅲ类水水质要求，COD≤20mg/L；氨氮≤1.0mg/L；总氮≤1.0mg/L；总磷≤0.2mg/L。水环境容量测算时，各控制单元的设计水质目标执行Ⅲ类水域标准。</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表3.2-3  水环境容量单元划分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2"/>
        <w:gridCol w:w="2766"/>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2689"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计算断面</w:t>
            </w:r>
          </w:p>
        </w:tc>
        <w:tc>
          <w:tcPr>
            <w:tcW w:w="2693"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目标水域功能</w:t>
            </w:r>
          </w:p>
        </w:tc>
        <w:tc>
          <w:tcPr>
            <w:tcW w:w="2914"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河段长度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89"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诸佛江入乌江</w:t>
            </w:r>
          </w:p>
        </w:tc>
        <w:tc>
          <w:tcPr>
            <w:tcW w:w="2693"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Ⅲ</w:t>
            </w:r>
          </w:p>
        </w:tc>
        <w:tc>
          <w:tcPr>
            <w:tcW w:w="2914"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47.4km</w:t>
            </w:r>
          </w:p>
        </w:tc>
      </w:tr>
    </w:tbl>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b）流量</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从环境最不利的角度考虑，容量测算设计水文条件是保证率为P=90%的枯水期平均流量及相应的设计水深、设计流速、设计水面坡降等。</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c）设计流速</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设计流速是水质和纳污能力计算模型中的关键参数，因为污染物的输移速度主要是由水流流速决定的，各种反应的参数也往往与流速和水深有较明显的相关关系。由于水文设计条件往往是以流量的形式给出的，因此有必要建立各河段的流速～流量的相关关系，根据各计算河道的实际资料情况采用合适的方法估算其设计流速，缺乏资料的河段，采取水文比拟等方法确定其水文条件。</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表3.2-4  主要河段的设计流量及流速（90％保证率）</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71"/>
        <w:gridCol w:w="2350"/>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1" w:type="dxa"/>
            <w:vAlign w:val="center"/>
          </w:tcPr>
          <w:p>
            <w:pPr>
              <w:pStyle w:val="112"/>
              <w:ind w:firstLine="480"/>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计算断面</w:t>
            </w:r>
          </w:p>
        </w:tc>
        <w:tc>
          <w:tcPr>
            <w:tcW w:w="2563" w:type="dxa"/>
            <w:vAlign w:val="center"/>
          </w:tcPr>
          <w:p>
            <w:pPr>
              <w:pStyle w:val="112"/>
              <w:ind w:firstLine="480"/>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流量（m</w:t>
            </w:r>
            <w:r>
              <w:rPr>
                <w:rFonts w:ascii="Times New Roman" w:hAnsi="Times New Roman" w:cs="Times New Roman"/>
                <w:b/>
                <w:color w:val="000000" w:themeColor="text1"/>
                <w:szCs w:val="22"/>
                <w:vertAlign w:val="superscript"/>
                <w14:textFill>
                  <w14:solidFill>
                    <w14:schemeClr w14:val="tx1"/>
                  </w14:solidFill>
                </w14:textFill>
              </w:rPr>
              <w:t>3</w:t>
            </w:r>
            <w:r>
              <w:rPr>
                <w:rFonts w:ascii="Times New Roman" w:hAnsi="Times New Roman" w:cs="Times New Roman"/>
                <w:b/>
                <w:color w:val="000000" w:themeColor="text1"/>
                <w:szCs w:val="22"/>
                <w14:textFill>
                  <w14:solidFill>
                    <w14:schemeClr w14:val="tx1"/>
                  </w14:solidFill>
                </w14:textFill>
              </w:rPr>
              <w:t>/s）</w:t>
            </w:r>
          </w:p>
        </w:tc>
        <w:tc>
          <w:tcPr>
            <w:tcW w:w="2772" w:type="dxa"/>
            <w:vAlign w:val="center"/>
          </w:tcPr>
          <w:p>
            <w:pPr>
              <w:pStyle w:val="112"/>
              <w:ind w:firstLine="480"/>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流速（m/s）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791" w:type="dxa"/>
            <w:vAlign w:val="center"/>
          </w:tcPr>
          <w:p>
            <w:pPr>
              <w:pStyle w:val="112"/>
              <w:ind w:firstLine="48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诸佛江入乌江</w:t>
            </w:r>
          </w:p>
        </w:tc>
        <w:tc>
          <w:tcPr>
            <w:tcW w:w="2563" w:type="dxa"/>
            <w:vAlign w:val="center"/>
          </w:tcPr>
          <w:p>
            <w:pPr>
              <w:pStyle w:val="112"/>
              <w:ind w:firstLine="48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8.1</w:t>
            </w:r>
          </w:p>
        </w:tc>
        <w:tc>
          <w:tcPr>
            <w:tcW w:w="2772" w:type="dxa"/>
            <w:vAlign w:val="center"/>
          </w:tcPr>
          <w:p>
            <w:pPr>
              <w:pStyle w:val="112"/>
              <w:ind w:firstLine="48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0.81</w:t>
            </w:r>
          </w:p>
        </w:tc>
      </w:tr>
    </w:tbl>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d）边界条件</w: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采用经验公式法进行计算：</w:t>
      </w:r>
    </w:p>
    <w:p>
      <w:pPr>
        <w:pStyle w:val="124"/>
        <w:spacing w:line="460" w:lineRule="exact"/>
        <w:ind w:firstLine="480"/>
        <w:jc w:val="center"/>
        <w:rPr>
          <w:rFonts w:ascii="Times New Roman" w:hAnsi="Times New Roman"/>
          <w:color w:val="000000" w:themeColor="text1"/>
          <w:szCs w:val="26"/>
          <w14:textFill>
            <w14:solidFill>
              <w14:schemeClr w14:val="tx1"/>
            </w14:solidFill>
          </w14:textFill>
        </w:rPr>
      </w:pPr>
      <w:r>
        <w:rPr>
          <w:rFonts w:ascii="Times New Roman" w:hAnsi="Times New Roman"/>
          <w:color w:val="000000" w:themeColor="text1"/>
          <w:position w:val="-16"/>
          <w:szCs w:val="26"/>
          <w14:textFill>
            <w14:solidFill>
              <w14:schemeClr w14:val="tx1"/>
            </w14:solidFill>
          </w14:textFill>
        </w:rPr>
        <w:object>
          <v:shape id="_x0000_i1027" o:spt="75" type="#_x0000_t75" style="height:24.45pt;width:97.15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7" r:id="rId24">
            <o:LockedField>false</o:LockedField>
          </o:OLEObject>
        </w:object>
      </w:r>
    </w:p>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参考《三峡水库对重庆库段生态环境影响及整治对策研究》中水环境容量的计算，诸佛江流域污染物综合降解系数K值见下表。</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表3.2-5  水环境容量测算不同污染物综合降解系数k（1/d）取值</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5"/>
        <w:gridCol w:w="2263"/>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9"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项目</w:t>
            </w:r>
          </w:p>
        </w:tc>
        <w:tc>
          <w:tcPr>
            <w:tcW w:w="1843"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COD</w:t>
            </w:r>
            <w:r>
              <w:rPr>
                <w:rFonts w:ascii="Times New Roman" w:hAnsi="Times New Roman" w:cs="Times New Roman"/>
                <w:b/>
                <w:color w:val="000000" w:themeColor="text1"/>
                <w:szCs w:val="22"/>
                <w:vertAlign w:val="subscript"/>
                <w14:textFill>
                  <w14:solidFill>
                    <w14:schemeClr w14:val="tx1"/>
                  </w14:solidFill>
                </w14:textFill>
              </w:rPr>
              <w:t>cr</w:t>
            </w:r>
          </w:p>
        </w:tc>
        <w:tc>
          <w:tcPr>
            <w:tcW w:w="1559"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NH</w:t>
            </w:r>
            <w:r>
              <w:rPr>
                <w:rFonts w:ascii="Times New Roman" w:hAnsi="Times New Roman" w:cs="Times New Roman"/>
                <w:b/>
                <w:color w:val="000000" w:themeColor="text1"/>
                <w:szCs w:val="22"/>
                <w:vertAlign w:val="subscript"/>
                <w14:textFill>
                  <w14:solidFill>
                    <w14:schemeClr w14:val="tx1"/>
                  </w14:solidFill>
                </w14:textFill>
              </w:rPr>
              <w:t>3</w:t>
            </w:r>
            <w:r>
              <w:rPr>
                <w:rFonts w:ascii="Times New Roman" w:hAnsi="Times New Roman" w:cs="Times New Roman"/>
                <w:b/>
                <w:color w:val="000000" w:themeColor="text1"/>
                <w:szCs w:val="22"/>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9"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指标</w:t>
            </w:r>
          </w:p>
        </w:tc>
        <w:tc>
          <w:tcPr>
            <w:tcW w:w="1843"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0.15</w:t>
            </w:r>
          </w:p>
        </w:tc>
        <w:tc>
          <w:tcPr>
            <w:tcW w:w="1559"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0.2</w:t>
            </w:r>
          </w:p>
        </w:tc>
      </w:tr>
    </w:tbl>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e)初始断面浓度</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表3.2-6  初始断面污染物浓度（mg/l）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5"/>
        <w:gridCol w:w="2263"/>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9"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项目</w:t>
            </w:r>
          </w:p>
        </w:tc>
        <w:tc>
          <w:tcPr>
            <w:tcW w:w="1843"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COD</w:t>
            </w:r>
            <w:r>
              <w:rPr>
                <w:rFonts w:ascii="Times New Roman" w:hAnsi="Times New Roman" w:cs="Times New Roman"/>
                <w:b/>
                <w:color w:val="000000" w:themeColor="text1"/>
                <w:szCs w:val="22"/>
                <w:vertAlign w:val="subscript"/>
                <w14:textFill>
                  <w14:solidFill>
                    <w14:schemeClr w14:val="tx1"/>
                  </w14:solidFill>
                </w14:textFill>
              </w:rPr>
              <w:t>cr</w:t>
            </w:r>
          </w:p>
        </w:tc>
        <w:tc>
          <w:tcPr>
            <w:tcW w:w="1559"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NH</w:t>
            </w:r>
            <w:r>
              <w:rPr>
                <w:rFonts w:ascii="Times New Roman" w:hAnsi="Times New Roman" w:cs="Times New Roman"/>
                <w:b/>
                <w:color w:val="000000" w:themeColor="text1"/>
                <w:szCs w:val="22"/>
                <w:vertAlign w:val="subscript"/>
                <w14:textFill>
                  <w14:solidFill>
                    <w14:schemeClr w14:val="tx1"/>
                  </w14:solidFill>
                </w14:textFill>
              </w:rPr>
              <w:t>3</w:t>
            </w:r>
            <w:r>
              <w:rPr>
                <w:rFonts w:ascii="Times New Roman" w:hAnsi="Times New Roman" w:cs="Times New Roman"/>
                <w:b/>
                <w:color w:val="000000" w:themeColor="text1"/>
                <w:szCs w:val="22"/>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9"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指标</w:t>
            </w:r>
          </w:p>
        </w:tc>
        <w:tc>
          <w:tcPr>
            <w:tcW w:w="1843"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1.12</w:t>
            </w:r>
          </w:p>
        </w:tc>
        <w:tc>
          <w:tcPr>
            <w:tcW w:w="1559"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0.07</w:t>
            </w:r>
          </w:p>
        </w:tc>
      </w:tr>
    </w:tbl>
    <w:p>
      <w:pPr>
        <w:pStyle w:val="124"/>
        <w:spacing w:before="156" w:beforeLines="50" w:line="360" w:lineRule="auto"/>
        <w:ind w:firstLine="480"/>
        <w:rPr>
          <w:rFonts w:ascii="Times New Roman" w:hAnsi="Times New Roman"/>
          <w:color w:val="000000" w:themeColor="text1"/>
          <w:szCs w:val="26"/>
          <w:lang w:val="zh-CN"/>
          <w14:textFill>
            <w14:solidFill>
              <w14:schemeClr w14:val="tx1"/>
            </w14:solidFill>
          </w14:textFill>
        </w:rPr>
      </w:pPr>
      <w:r>
        <w:rPr>
          <w:rFonts w:hint="eastAsia" w:ascii="Times New Roman" w:hAnsi="Times New Roman"/>
          <w:color w:val="000000" w:themeColor="text1"/>
          <w:szCs w:val="26"/>
          <w:lang w:val="zh-CN"/>
          <w14:textFill>
            <w14:solidFill>
              <w14:schemeClr w14:val="tx1"/>
            </w14:solidFill>
          </w14:textFill>
        </w:rPr>
        <w:t>（3）</w:t>
      </w:r>
      <w:r>
        <w:rPr>
          <w:rFonts w:ascii="Times New Roman" w:hAnsi="Times New Roman"/>
          <w:color w:val="000000" w:themeColor="text1"/>
          <w:szCs w:val="26"/>
          <w:lang w:val="zh-CN"/>
          <w14:textFill>
            <w14:solidFill>
              <w14:schemeClr w14:val="tx1"/>
            </w14:solidFill>
          </w14:textFill>
        </w:rPr>
        <w:t>纳污能力计算结果</w:t>
      </w:r>
    </w:p>
    <w:p>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本次水环境容量测算在统计现状排污口分布和负荷量的基础上，所有控制单元均采用正向进行容量测算，计算得到的90％保证率的枯季水文状况下诸佛江水环境功能区各单元水环境容量（CODcr、NH</w:t>
      </w:r>
      <w:r>
        <w:rPr>
          <w:color w:val="000000" w:themeColor="text1"/>
          <w:vertAlign w:val="subscript"/>
          <w:lang w:val="zh-CN"/>
          <w14:textFill>
            <w14:solidFill>
              <w14:schemeClr w14:val="tx1"/>
            </w14:solidFill>
          </w14:textFill>
        </w:rPr>
        <w:t>3</w:t>
      </w:r>
      <w:r>
        <w:rPr>
          <w:color w:val="000000" w:themeColor="text1"/>
          <w:lang w:val="zh-CN"/>
          <w14:textFill>
            <w14:solidFill>
              <w14:schemeClr w14:val="tx1"/>
            </w14:solidFill>
          </w14:textFill>
        </w:rPr>
        <w:t>-N</w:t>
      </w:r>
      <w:r>
        <w:rPr>
          <w:color w:val="000000" w:themeColor="text1"/>
          <w:szCs w:val="26"/>
          <w:lang w:val="zh-CN"/>
          <w14:textFill>
            <w14:solidFill>
              <w14:schemeClr w14:val="tx1"/>
            </w14:solidFill>
          </w14:textFill>
        </w:rPr>
        <w:t>）</w:t>
      </w:r>
      <w:r>
        <w:rPr>
          <w:color w:val="000000" w:themeColor="text1"/>
          <w:lang w:val="zh-CN"/>
          <w14:textFill>
            <w14:solidFill>
              <w14:schemeClr w14:val="tx1"/>
            </w14:solidFill>
          </w14:textFill>
        </w:rPr>
        <w:t>，具体见下表。</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表3.2-7  水环境容量测算结果（t/a）</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2767"/>
        <w:gridCol w:w="2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30" w:type="dxa"/>
            <w:vMerge w:val="restart"/>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计算断面</w:t>
            </w:r>
          </w:p>
        </w:tc>
        <w:tc>
          <w:tcPr>
            <w:tcW w:w="5466" w:type="dxa"/>
            <w:gridSpan w:val="2"/>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水环境容量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30" w:type="dxa"/>
            <w:vMerge w:val="continue"/>
            <w:vAlign w:val="center"/>
          </w:tcPr>
          <w:p>
            <w:pPr>
              <w:pStyle w:val="112"/>
              <w:rPr>
                <w:rFonts w:ascii="Times New Roman" w:hAnsi="Times New Roman" w:cs="Times New Roman"/>
                <w:b/>
                <w:color w:val="000000" w:themeColor="text1"/>
                <w:szCs w:val="22"/>
                <w14:textFill>
                  <w14:solidFill>
                    <w14:schemeClr w14:val="tx1"/>
                  </w14:solidFill>
                </w14:textFill>
              </w:rPr>
            </w:pPr>
          </w:p>
        </w:tc>
        <w:tc>
          <w:tcPr>
            <w:tcW w:w="2694"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COD</w:t>
            </w:r>
            <w:r>
              <w:rPr>
                <w:rFonts w:ascii="Times New Roman" w:hAnsi="Times New Roman" w:cs="Times New Roman"/>
                <w:b/>
                <w:color w:val="000000" w:themeColor="text1"/>
                <w:szCs w:val="22"/>
                <w:vertAlign w:val="subscript"/>
                <w14:textFill>
                  <w14:solidFill>
                    <w14:schemeClr w14:val="tx1"/>
                  </w14:solidFill>
                </w14:textFill>
              </w:rPr>
              <w:t>cr</w:t>
            </w:r>
          </w:p>
        </w:tc>
        <w:tc>
          <w:tcPr>
            <w:tcW w:w="2772"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NH</w:t>
            </w:r>
            <w:r>
              <w:rPr>
                <w:rFonts w:ascii="Times New Roman" w:hAnsi="Times New Roman" w:cs="Times New Roman"/>
                <w:b/>
                <w:color w:val="000000" w:themeColor="text1"/>
                <w:szCs w:val="22"/>
                <w:vertAlign w:val="subscript"/>
                <w14:textFill>
                  <w14:solidFill>
                    <w14:schemeClr w14:val="tx1"/>
                  </w14:solidFill>
                </w14:textFill>
              </w:rPr>
              <w:t>3</w:t>
            </w:r>
            <w:r>
              <w:rPr>
                <w:rFonts w:ascii="Times New Roman" w:hAnsi="Times New Roman" w:cs="Times New Roman"/>
                <w:b/>
                <w:color w:val="000000" w:themeColor="text1"/>
                <w:szCs w:val="22"/>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0"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诸佛江入乌江</w:t>
            </w:r>
          </w:p>
        </w:tc>
        <w:tc>
          <w:tcPr>
            <w:tcW w:w="2694"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3830.22</w:t>
            </w:r>
          </w:p>
        </w:tc>
        <w:tc>
          <w:tcPr>
            <w:tcW w:w="2772" w:type="dxa"/>
            <w:vAlign w:val="bottom"/>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179.22</w:t>
            </w:r>
          </w:p>
        </w:tc>
      </w:tr>
    </w:tbl>
    <w:p>
      <w:pPr>
        <w:pStyle w:val="124"/>
        <w:spacing w:line="460" w:lineRule="exact"/>
        <w:ind w:firstLine="480"/>
        <w:rPr>
          <w:rFonts w:ascii="Times New Roman" w:hAnsi="Times New Roman"/>
          <w:color w:val="000000" w:themeColor="text1"/>
          <w:szCs w:val="26"/>
          <w:lang w:val="zh-CN"/>
          <w14:textFill>
            <w14:solidFill>
              <w14:schemeClr w14:val="tx1"/>
            </w14:solidFill>
          </w14:textFill>
        </w:rPr>
      </w:pPr>
      <w:r>
        <w:rPr>
          <w:rFonts w:ascii="Times New Roman" w:hAnsi="Times New Roman"/>
          <w:color w:val="000000" w:themeColor="text1"/>
          <w:szCs w:val="26"/>
          <w:lang w:val="zh-CN"/>
          <w14:textFill>
            <w14:solidFill>
              <w14:schemeClr w14:val="tx1"/>
            </w14:solidFill>
          </w14:textFill>
        </w:rPr>
        <w:t>诸佛江流域污染物排放总量均小于水环境容量，现状纳污能力较好，流域污染负荷削减量见下表：：</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表3.2-8  诸佛江流域污染物削减量</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3215"/>
        <w:gridCol w:w="3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6"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指标</w:t>
            </w:r>
          </w:p>
        </w:tc>
        <w:tc>
          <w:tcPr>
            <w:tcW w:w="3130"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环境容量（t/a）</w:t>
            </w:r>
          </w:p>
        </w:tc>
        <w:tc>
          <w:tcPr>
            <w:tcW w:w="3260" w:type="dxa"/>
            <w:vAlign w:val="center"/>
          </w:tcPr>
          <w:p>
            <w:pPr>
              <w:pStyle w:val="112"/>
              <w:rPr>
                <w:rFonts w:ascii="Times New Roman" w:hAnsi="Times New Roman" w:cs="Times New Roman"/>
                <w:b/>
                <w:color w:val="000000" w:themeColor="text1"/>
                <w:szCs w:val="22"/>
                <w14:textFill>
                  <w14:solidFill>
                    <w14:schemeClr w14:val="tx1"/>
                  </w14:solidFill>
                </w14:textFill>
              </w:rPr>
            </w:pPr>
            <w:r>
              <w:rPr>
                <w:rFonts w:ascii="Times New Roman" w:hAnsi="Times New Roman" w:cs="Times New Roman"/>
                <w:b/>
                <w:color w:val="000000" w:themeColor="text1"/>
                <w:szCs w:val="22"/>
                <w14:textFill>
                  <w14:solidFill>
                    <w14:schemeClr w14:val="tx1"/>
                  </w14:solidFill>
                </w14:textFill>
              </w:rPr>
              <w:t>污染负荷（t/a）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6"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COD</w:t>
            </w:r>
          </w:p>
        </w:tc>
        <w:tc>
          <w:tcPr>
            <w:tcW w:w="3130"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318.07</w:t>
            </w:r>
          </w:p>
        </w:tc>
        <w:tc>
          <w:tcPr>
            <w:tcW w:w="3260"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60.498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06"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NH3-N</w:t>
            </w:r>
          </w:p>
        </w:tc>
        <w:tc>
          <w:tcPr>
            <w:tcW w:w="3130"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14.72</w:t>
            </w:r>
          </w:p>
        </w:tc>
        <w:tc>
          <w:tcPr>
            <w:tcW w:w="3260" w:type="dxa"/>
            <w:vAlign w:val="center"/>
          </w:tcPr>
          <w:p>
            <w:pPr>
              <w:pStyle w:val="112"/>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6.393</w:t>
            </w:r>
          </w:p>
        </w:tc>
      </w:tr>
    </w:tbl>
    <w:p>
      <w:pPr>
        <w:spacing w:before="312" w:beforeLines="100"/>
        <w:ind w:firstLine="480"/>
        <w:rPr>
          <w:color w:val="000000" w:themeColor="text1"/>
          <w14:textFill>
            <w14:solidFill>
              <w14:schemeClr w14:val="tx1"/>
            </w14:solidFill>
          </w14:textFill>
        </w:rPr>
      </w:pPr>
      <w:r>
        <w:rPr>
          <w:color w:val="000000" w:themeColor="text1"/>
          <w14:textFill>
            <w14:solidFill>
              <w14:schemeClr w14:val="tx1"/>
            </w14:solidFill>
          </w14:textFill>
        </w:rPr>
        <w:t>根据诸佛江河段现状污染物排放量，结合水质现状，2022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2024年诸佛江全年监测数据能达到Ⅱ类～Ⅲ类水质，分析可知，诸佛江</w:t>
      </w:r>
      <w:r>
        <w:rPr>
          <w:color w:val="000000" w:themeColor="text1"/>
          <w:szCs w:val="26"/>
          <w:lang w:val="zh-CN"/>
          <w14:textFill>
            <w14:solidFill>
              <w14:schemeClr w14:val="tx1"/>
            </w14:solidFill>
          </w14:textFill>
        </w:rPr>
        <w:t>水域纳污能力</w:t>
      </w:r>
      <w:r>
        <w:rPr>
          <w:color w:val="000000" w:themeColor="text1"/>
          <w14:textFill>
            <w14:solidFill>
              <w14:schemeClr w14:val="tx1"/>
            </w14:solidFill>
          </w14:textFill>
        </w:rPr>
        <w:t>计算成果是合理的。</w:t>
      </w:r>
    </w:p>
    <w:p>
      <w:pPr>
        <w:pStyle w:val="3"/>
        <w:rPr>
          <w:color w:val="000000" w:themeColor="text1"/>
          <w14:textFill>
            <w14:solidFill>
              <w14:schemeClr w14:val="tx1"/>
            </w14:solidFill>
          </w14:textFill>
        </w:rPr>
      </w:pPr>
      <w:bookmarkStart w:id="96" w:name="_Toc184805910"/>
      <w:r>
        <w:rPr>
          <w:rFonts w:hint="eastAsia"/>
          <w:color w:val="000000" w:themeColor="text1"/>
          <w14:textFill>
            <w14:solidFill>
              <w14:schemeClr w14:val="tx1"/>
            </w14:solidFill>
          </w14:textFill>
        </w:rPr>
        <w:t>论证水功能区（水域）现有取排水状况</w:t>
      </w:r>
      <w:bookmarkEnd w:id="96"/>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根据现场踏勘调查，项目所在区域</w:t>
      </w:r>
      <w:r>
        <w:rPr>
          <w:rFonts w:hint="eastAsia"/>
          <w:color w:val="auto"/>
        </w:rPr>
        <w:t>为</w:t>
      </w:r>
      <w:r>
        <w:rPr>
          <w:color w:val="000000" w:themeColor="text1"/>
          <w14:textFill>
            <w14:solidFill>
              <w14:schemeClr w14:val="tx1"/>
            </w14:solidFill>
          </w14:textFill>
        </w:rPr>
        <w:t>混合型城郊生态系统，生态系统单一不敏感，生态环境简单。评价范围内无自然保护区、风景名胜区、生态功能保护区、国家重点文物保护单位、名胜古迹和饮用水源保护区等敏感区域，无珍稀动植物存在，无自然生态环境敏感点（区）分布</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水功能区取水状况</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论证项目位于</w:t>
      </w:r>
      <w:r>
        <w:rPr>
          <w:rFonts w:hint="eastAsia"/>
          <w:color w:val="000000" w:themeColor="text1"/>
          <w14:textFill>
            <w14:solidFill>
              <w14:schemeClr w14:val="tx1"/>
            </w14:solidFill>
          </w14:textFill>
        </w:rPr>
        <w:t>诸佛江支流小溪沟右岸，</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“诸佛江诸佛鹿角景观娱乐用水区”。根据资料查阅和现场踏勘，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没有取水口。</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水功能区排水状况</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本次论证项目位于</w:t>
      </w:r>
      <w:r>
        <w:rPr>
          <w:rFonts w:hint="eastAsia"/>
          <w:color w:val="000000" w:themeColor="text1"/>
          <w14:textFill>
            <w14:solidFill>
              <w14:schemeClr w14:val="tx1"/>
            </w14:solidFill>
          </w14:textFill>
        </w:rPr>
        <w:t>诸佛江右岸，</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“诸佛江诸佛鹿角景观娱乐用水区”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涉及的排污口有诸佛乡污水处理厂、梅子垭镇污水处理厂、桑拓镇污水处理厂、鞍子镇污水处理厂入河排污口，见表3</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2002"/>
        <w:gridCol w:w="992"/>
        <w:gridCol w:w="1559"/>
        <w:gridCol w:w="1626"/>
        <w:gridCol w:w="78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002"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992"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排水量</w:t>
            </w:r>
          </w:p>
        </w:tc>
        <w:tc>
          <w:tcPr>
            <w:tcW w:w="1559"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排水地点</w:t>
            </w:r>
          </w:p>
        </w:tc>
        <w:tc>
          <w:tcPr>
            <w:tcW w:w="1626"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与本项目排污口相对位置</w:t>
            </w:r>
          </w:p>
        </w:tc>
        <w:tc>
          <w:tcPr>
            <w:tcW w:w="786"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排水方式</w:t>
            </w:r>
          </w:p>
        </w:tc>
        <w:tc>
          <w:tcPr>
            <w:tcW w:w="786"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入河方式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0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诸佛乡污水处理厂</w:t>
            </w:r>
          </w:p>
        </w:tc>
        <w:tc>
          <w:tcPr>
            <w:tcW w:w="992"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60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诸佛乡支流大溪河</w:t>
            </w:r>
          </w:p>
        </w:tc>
        <w:tc>
          <w:tcPr>
            <w:tcW w:w="162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10k</w:t>
            </w:r>
            <w:r>
              <w:rPr>
                <w:rFonts w:hint="eastAsia"/>
                <w:color w:val="000000" w:themeColor="text1"/>
                <w14:textFill>
                  <w14:solidFill>
                    <w14:schemeClr w14:val="tx1"/>
                  </w14:solidFill>
                </w14:textFill>
              </w:rPr>
              <w:t>m</w:t>
            </w:r>
          </w:p>
        </w:tc>
        <w:tc>
          <w:tcPr>
            <w:tcW w:w="78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0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鞍子镇污水处理厂</w:t>
            </w:r>
          </w:p>
        </w:tc>
        <w:tc>
          <w:tcPr>
            <w:tcW w:w="99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诸佛乡支流跳磴河</w:t>
            </w:r>
          </w:p>
        </w:tc>
        <w:tc>
          <w:tcPr>
            <w:tcW w:w="162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22k</w:t>
            </w:r>
            <w:r>
              <w:rPr>
                <w:rFonts w:hint="eastAsia"/>
                <w:color w:val="000000" w:themeColor="text1"/>
                <w14:textFill>
                  <w14:solidFill>
                    <w14:schemeClr w14:val="tx1"/>
                  </w14:solidFill>
                </w14:textFill>
              </w:rPr>
              <w:t>m</w:t>
            </w:r>
          </w:p>
        </w:tc>
        <w:tc>
          <w:tcPr>
            <w:tcW w:w="78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0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桑拓镇污水处理厂</w:t>
            </w:r>
          </w:p>
        </w:tc>
        <w:tc>
          <w:tcPr>
            <w:tcW w:w="99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pPr>
              <w:pStyle w:val="58"/>
              <w:rPr>
                <w:b/>
                <w:color w:val="000000" w:themeColor="text1"/>
                <w14:textFill>
                  <w14:solidFill>
                    <w14:schemeClr w14:val="tx1"/>
                  </w14:solidFill>
                </w14:textFill>
              </w:rPr>
            </w:pPr>
            <w:r>
              <w:rPr>
                <w:rFonts w:hint="eastAsia"/>
                <w:color w:val="000000" w:themeColor="text1"/>
                <w14:textFill>
                  <w14:solidFill>
                    <w14:schemeClr w14:val="tx1"/>
                  </w14:solidFill>
                </w14:textFill>
              </w:rPr>
              <w:t>诸佛乡支流大青河</w:t>
            </w:r>
          </w:p>
        </w:tc>
        <w:tc>
          <w:tcPr>
            <w:tcW w:w="162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14k</w:t>
            </w:r>
            <w:r>
              <w:rPr>
                <w:rFonts w:hint="eastAsia"/>
                <w:color w:val="000000" w:themeColor="text1"/>
                <w14:textFill>
                  <w14:solidFill>
                    <w14:schemeClr w14:val="tx1"/>
                  </w14:solidFill>
                </w14:textFill>
              </w:rPr>
              <w:t>m</w:t>
            </w:r>
          </w:p>
        </w:tc>
        <w:tc>
          <w:tcPr>
            <w:tcW w:w="78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0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梅子垭镇污水处理厂</w:t>
            </w:r>
          </w:p>
        </w:tc>
        <w:tc>
          <w:tcPr>
            <w:tcW w:w="99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5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诸佛乡支流跳磴河</w:t>
            </w:r>
          </w:p>
        </w:tc>
        <w:tc>
          <w:tcPr>
            <w:tcW w:w="162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下游约</w:t>
            </w:r>
            <w:r>
              <w:rPr>
                <w:color w:val="000000" w:themeColor="text1"/>
                <w14:textFill>
                  <w14:solidFill>
                    <w14:schemeClr w14:val="tx1"/>
                  </w14:solidFill>
                </w14:textFill>
              </w:rPr>
              <w:t>22k</w:t>
            </w:r>
            <w:r>
              <w:rPr>
                <w:rFonts w:hint="eastAsia"/>
                <w:color w:val="000000" w:themeColor="text1"/>
                <w14:textFill>
                  <w14:solidFill>
                    <w14:schemeClr w14:val="tx1"/>
                  </w14:solidFill>
                </w14:textFill>
              </w:rPr>
              <w:t>m</w:t>
            </w:r>
          </w:p>
        </w:tc>
        <w:tc>
          <w:tcPr>
            <w:tcW w:w="78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786"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r>
    </w:tbl>
    <w:p>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2"/>
        <w:ind w:left="0" w:firstLine="0"/>
        <w:rPr>
          <w:color w:val="000000" w:themeColor="text1"/>
          <w14:textFill>
            <w14:solidFill>
              <w14:schemeClr w14:val="tx1"/>
            </w14:solidFill>
          </w14:textFill>
        </w:rPr>
      </w:pPr>
      <w:bookmarkStart w:id="97" w:name="_Toc184805911"/>
      <w:r>
        <w:rPr>
          <w:rFonts w:hint="eastAsia"/>
          <w:color w:val="000000" w:themeColor="text1"/>
          <w14:textFill>
            <w14:solidFill>
              <w14:schemeClr w14:val="tx1"/>
            </w14:solidFill>
          </w14:textFill>
        </w:rPr>
        <w:t>入河排污口所在水功能区（水域）水质现状和纳污状况</w:t>
      </w:r>
      <w:bookmarkEnd w:id="97"/>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8" w:name="_Toc184805912"/>
      <w:r>
        <w:rPr>
          <w:rFonts w:hint="eastAsia"/>
          <w:color w:val="000000" w:themeColor="text1"/>
          <w14:textFill>
            <w14:solidFill>
              <w14:schemeClr w14:val="tx1"/>
            </w14:solidFill>
          </w14:textFill>
        </w:rPr>
        <w:t>水功能区（水域）管理要求</w:t>
      </w:r>
      <w:bookmarkEnd w:id="98"/>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《重庆市彭水县水功能区划修编报告》</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诸佛江支流小溪沟右岸</w:t>
      </w:r>
      <w:r>
        <w:rPr>
          <w:color w:val="000000" w:themeColor="text1"/>
          <w14:textFill>
            <w14:solidFill>
              <w14:schemeClr w14:val="tx1"/>
            </w14:solidFill>
          </w14:textFill>
        </w:rPr>
        <w:t>，所在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“诸佛江诸佛鹿角景观娱乐用水区”</w:t>
      </w:r>
      <w:r>
        <w:rPr>
          <w:color w:val="000000" w:themeColor="text1"/>
          <w14:textFill>
            <w14:solidFill>
              <w14:schemeClr w14:val="tx1"/>
            </w14:solidFill>
          </w14:textFill>
        </w:rPr>
        <w:t>，其水质管理目标为</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99" w:name="_Toc184805913"/>
      <w:r>
        <w:rPr>
          <w:rFonts w:hint="eastAsia"/>
          <w:color w:val="000000" w:themeColor="text1"/>
          <w14:textFill>
            <w14:solidFill>
              <w14:schemeClr w14:val="tx1"/>
            </w14:solidFill>
          </w14:textFill>
        </w:rPr>
        <w:t>水功能区（水域）水质现状</w:t>
      </w:r>
      <w:bookmarkEnd w:id="99"/>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本排污口所在的水功能有例行监测断面，为诸佛江诸佛寺断面。根据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月诸佛寺断面（本项目入河排污口下游</w:t>
      </w:r>
      <w:r>
        <w:rPr>
          <w:color w:val="000000" w:themeColor="text1"/>
          <w14:textFill>
            <w14:solidFill>
              <w14:schemeClr w14:val="tx1"/>
            </w14:solidFill>
          </w14:textFill>
        </w:rPr>
        <w:t>14km</w:t>
      </w:r>
      <w:r>
        <w:rPr>
          <w:rFonts w:hint="eastAsia"/>
          <w:color w:val="000000" w:themeColor="text1"/>
          <w14:textFill>
            <w14:solidFill>
              <w14:schemeClr w14:val="tx1"/>
            </w14:solidFill>
          </w14:textFill>
        </w:rPr>
        <w:t>）的例行监测数据，对诸佛江水环境质量情况进行分析。诸佛江例行监测断面近三年监测数据见表4.2.1-1。</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诸佛江诸佛寺断面在2022年1月~2024年</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1"/>
        <w:gridCol w:w="1019"/>
        <w:gridCol w:w="982"/>
        <w:gridCol w:w="910"/>
        <w:gridCol w:w="1019"/>
        <w:gridCol w:w="116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shd w:val="clear" w:color="auto" w:fill="auto"/>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39" w:type="pct"/>
            <w:shd w:val="clear" w:color="auto" w:fill="auto"/>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5" w:type="pct"/>
            <w:shd w:val="clear" w:color="auto" w:fill="auto"/>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vMerge w:val="restar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诸佛寺断面</w:t>
            </w:r>
          </w:p>
        </w:tc>
        <w:tc>
          <w:tcPr>
            <w:tcW w:w="939"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.5</w:t>
            </w:r>
          </w:p>
        </w:tc>
        <w:tc>
          <w:tcPr>
            <w:tcW w:w="576"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1.3</w:t>
            </w:r>
          </w:p>
        </w:tc>
        <w:tc>
          <w:tcPr>
            <w:tcW w:w="53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5</w:t>
            </w:r>
          </w:p>
        </w:tc>
        <w:tc>
          <w:tcPr>
            <w:tcW w:w="598"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.03</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0.14</w:t>
            </w:r>
          </w:p>
        </w:tc>
        <w:tc>
          <w:tcPr>
            <w:tcW w:w="645"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vMerge w:val="continue"/>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939"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.8</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8.4</w:t>
            </w:r>
          </w:p>
        </w:tc>
        <w:tc>
          <w:tcPr>
            <w:tcW w:w="576"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2.5</w:t>
            </w:r>
          </w:p>
        </w:tc>
        <w:tc>
          <w:tcPr>
            <w:tcW w:w="53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9</w:t>
            </w:r>
          </w:p>
        </w:tc>
        <w:tc>
          <w:tcPr>
            <w:tcW w:w="598"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p>
        </w:tc>
        <w:tc>
          <w:tcPr>
            <w:tcW w:w="68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0.16</w:t>
            </w:r>
          </w:p>
        </w:tc>
        <w:tc>
          <w:tcPr>
            <w:tcW w:w="645"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vMerge w:val="continue"/>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939"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024</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3</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8.4</w:t>
            </w:r>
          </w:p>
        </w:tc>
        <w:tc>
          <w:tcPr>
            <w:tcW w:w="576"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53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c>
          <w:tcPr>
            <w:tcW w:w="598"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0.7</w:t>
            </w:r>
          </w:p>
        </w:tc>
        <w:tc>
          <w:tcPr>
            <w:tcW w:w="68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.08</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0.15</w:t>
            </w:r>
          </w:p>
        </w:tc>
        <w:tc>
          <w:tcPr>
            <w:tcW w:w="645"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6" w:type="pct"/>
            <w:vMerge w:val="continue"/>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939"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《地表水环境质量标准》（GB3838-2002）Ⅲ类</w:t>
            </w:r>
          </w:p>
        </w:tc>
        <w:tc>
          <w:tcPr>
            <w:tcW w:w="598"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576"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534"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598"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68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645" w:type="pct"/>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r>
    </w:tbl>
    <w:p>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诸佛江诸佛寺断面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Ⅲ</w:t>
      </w:r>
      <w:r>
        <w:rPr>
          <w:color w:val="000000" w:themeColor="text1"/>
          <w14:textFill>
            <w14:solidFill>
              <w14:schemeClr w14:val="tx1"/>
            </w14:solidFill>
          </w14:textFill>
        </w:rPr>
        <w:t>类水质标准要求</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100" w:name="_Toc184805914"/>
      <w:r>
        <w:rPr>
          <w:rFonts w:hint="eastAsia"/>
          <w:color w:val="000000" w:themeColor="text1"/>
          <w14:textFill>
            <w14:solidFill>
              <w14:schemeClr w14:val="tx1"/>
            </w14:solidFill>
          </w14:textFill>
        </w:rPr>
        <w:t>所在水功能区（水域）纳污状况</w:t>
      </w:r>
      <w:bookmarkEnd w:id="100"/>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“诸佛江诸佛鹿角景观娱乐用水区”的</w:t>
      </w:r>
      <w:r>
        <w:rPr>
          <w:rFonts w:cs="Times New Roman"/>
          <w:color w:val="000000" w:themeColor="text1"/>
          <w14:textFill>
            <w14:solidFill>
              <w14:schemeClr w14:val="tx1"/>
            </w14:solidFill>
          </w14:textFill>
        </w:rPr>
        <w:t>范围内除本项目排污口外，</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有诸佛乡污水处理厂、梅子垭镇污水处理厂、桑拓镇污水处理厂、鞍子镇污水处理厂入河排污口，见表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98"/>
        <w:gridCol w:w="1400"/>
        <w:gridCol w:w="1512"/>
        <w:gridCol w:w="1601"/>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55" w:type="dxa"/>
            <w:vAlign w:val="center"/>
          </w:tcPr>
          <w:p>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诸佛乡污水处理厂</w:t>
            </w:r>
          </w:p>
        </w:tc>
        <w:tc>
          <w:tcPr>
            <w:tcW w:w="1363"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1900</w:t>
            </w:r>
          </w:p>
        </w:tc>
        <w:tc>
          <w:tcPr>
            <w:tcW w:w="147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.314</w:t>
            </w:r>
          </w:p>
        </w:tc>
        <w:tc>
          <w:tcPr>
            <w:tcW w:w="15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.175</w:t>
            </w:r>
          </w:p>
        </w:tc>
        <w:tc>
          <w:tcPr>
            <w:tcW w:w="1355" w:type="dxa"/>
            <w:vMerge w:val="restart"/>
            <w:vAlign w:val="center"/>
          </w:tcPr>
          <w:p>
            <w:pPr>
              <w:pStyle w:val="58"/>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18918-2002）一级B标准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鞍子镇污水处理厂</w:t>
            </w:r>
          </w:p>
        </w:tc>
        <w:tc>
          <w:tcPr>
            <w:tcW w:w="1363"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182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47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5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c>
          <w:tcPr>
            <w:tcW w:w="1355" w:type="dxa"/>
            <w:vMerge w:val="continue"/>
            <w:vAlign w:val="center"/>
          </w:tcPr>
          <w:p>
            <w:pPr>
              <w:pStyle w:val="58"/>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桑拓镇污水处理厂</w:t>
            </w:r>
          </w:p>
        </w:tc>
        <w:tc>
          <w:tcPr>
            <w:tcW w:w="1363"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292000</w:t>
            </w:r>
          </w:p>
        </w:tc>
        <w:tc>
          <w:tcPr>
            <w:tcW w:w="147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.336</w:t>
            </w:r>
          </w:p>
        </w:tc>
        <w:tc>
          <w:tcPr>
            <w:tcW w:w="1355" w:type="dxa"/>
            <w:vMerge w:val="continue"/>
            <w:vAlign w:val="center"/>
          </w:tcPr>
          <w:p>
            <w:pPr>
              <w:pStyle w:val="58"/>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梅子垭镇污水处理厂</w:t>
            </w:r>
          </w:p>
        </w:tc>
        <w:tc>
          <w:tcPr>
            <w:tcW w:w="1363"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182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47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5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c>
          <w:tcPr>
            <w:tcW w:w="1355" w:type="dxa"/>
            <w:vMerge w:val="continue"/>
            <w:vAlign w:val="center"/>
          </w:tcPr>
          <w:p>
            <w:pPr>
              <w:pStyle w:val="58"/>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678900</w:t>
            </w:r>
          </w:p>
        </w:tc>
        <w:tc>
          <w:tcPr>
            <w:tcW w:w="1472"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40.734</w:t>
            </w:r>
          </w:p>
        </w:tc>
        <w:tc>
          <w:tcPr>
            <w:tcW w:w="1559"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5.431</w:t>
            </w:r>
          </w:p>
        </w:tc>
        <w:tc>
          <w:tcPr>
            <w:tcW w:w="135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“诸佛江诸佛鹿角景观娱乐用水区”的</w:t>
      </w:r>
      <w:r>
        <w:rPr>
          <w:rFonts w:cs="Times New Roman"/>
          <w:color w:val="000000" w:themeColor="text1"/>
          <w14:textFill>
            <w14:solidFill>
              <w14:schemeClr w14:val="tx1"/>
            </w14:solidFill>
          </w14:textFill>
        </w:rPr>
        <w:t>范围内现有排污口污染物排放COD、NH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-N排放量合计分别为40.734t/a、5.431t/a。根据</w:t>
      </w:r>
      <w:r>
        <w:rPr>
          <w:rFonts w:hint="eastAsia" w:cs="Times New Roman"/>
          <w:color w:val="000000" w:themeColor="text1"/>
          <w14:textFill>
            <w14:solidFill>
              <w14:schemeClr w14:val="tx1"/>
            </w14:solidFill>
          </w14:textFill>
        </w:rPr>
        <w:t>核算的诸佛江纳污能力</w:t>
      </w:r>
      <w:r>
        <w:rPr>
          <w:rFonts w:cs="Times New Roman"/>
          <w:color w:val="000000" w:themeColor="text1"/>
          <w14:textFill>
            <w14:solidFill>
              <w14:schemeClr w14:val="tx1"/>
            </w14:solidFill>
          </w14:textFill>
        </w:rPr>
        <w:t>，该水功能区COD、NH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-N限排能力分别为60.4984t/a、6.393t/a，现状污染物</w:t>
      </w:r>
      <w:r>
        <w:rPr>
          <w:rFonts w:hint="eastAsia" w:cs="Times New Roman"/>
          <w:color w:val="000000" w:themeColor="text1"/>
          <w14:textFill>
            <w14:solidFill>
              <w14:schemeClr w14:val="tx1"/>
            </w14:solidFill>
          </w14:textFill>
        </w:rPr>
        <w:t>均未</w:t>
      </w:r>
      <w:r>
        <w:rPr>
          <w:rFonts w:cs="Times New Roman"/>
          <w:color w:val="000000" w:themeColor="text1"/>
          <w14:textFill>
            <w14:solidFill>
              <w14:schemeClr w14:val="tx1"/>
            </w14:solidFill>
          </w14:textFill>
        </w:rPr>
        <w:t>超过该水功能区限制排污总量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br w:type="page"/>
      </w:r>
    </w:p>
    <w:p>
      <w:pPr>
        <w:pStyle w:val="42"/>
        <w:ind w:left="0" w:firstLine="0"/>
        <w:rPr>
          <w:color w:val="000000" w:themeColor="text1"/>
          <w14:textFill>
            <w14:solidFill>
              <w14:schemeClr w14:val="tx1"/>
            </w14:solidFill>
          </w14:textFill>
        </w:rPr>
      </w:pPr>
      <w:bookmarkStart w:id="101" w:name="_Toc184805915"/>
      <w:r>
        <w:rPr>
          <w:rFonts w:hint="eastAsia"/>
          <w:color w:val="000000" w:themeColor="text1"/>
          <w14:textFill>
            <w14:solidFill>
              <w14:schemeClr w14:val="tx1"/>
            </w14:solidFill>
          </w14:textFill>
        </w:rPr>
        <w:t>入河排污口设置可行性分析论证及入河排污口设置情况</w:t>
      </w:r>
      <w:bookmarkEnd w:id="101"/>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2" w:name="_Toc184805916"/>
      <w:r>
        <w:rPr>
          <w:rFonts w:hint="eastAsia"/>
          <w:color w:val="000000" w:themeColor="text1"/>
          <w14:textFill>
            <w14:solidFill>
              <w14:schemeClr w14:val="tx1"/>
            </w14:solidFill>
          </w14:textFill>
        </w:rPr>
        <w:t>污水来源及构成</w:t>
      </w:r>
      <w:bookmarkEnd w:id="102"/>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大同镇污水处理厂服务范围为大同镇中心场镇片区，进水主要为生活污水，</w:t>
      </w:r>
      <w:r>
        <w:rPr>
          <w:color w:val="000000" w:themeColor="text1"/>
          <w14:textFill>
            <w14:solidFill>
              <w14:schemeClr w14:val="tx1"/>
            </w14:solidFill>
          </w14:textFill>
        </w:rPr>
        <w:t>进水水质相对稳定</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根据建设环评，本项目服务范围内特征污染因子主要为COD、BOD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-N、SS、TP等。</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3" w:name="_Toc184805917"/>
      <w:r>
        <w:rPr>
          <w:rFonts w:hint="eastAsia"/>
          <w:color w:val="000000" w:themeColor="text1"/>
          <w14:textFill>
            <w14:solidFill>
              <w14:schemeClr w14:val="tx1"/>
            </w14:solidFill>
          </w14:textFill>
        </w:rPr>
        <w:t>污水所含主要污染物种类及其排放浓度、总量</w:t>
      </w:r>
      <w:bookmarkEnd w:id="103"/>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大同镇污水处理厂处理规模为</w:t>
      </w:r>
      <w:r>
        <w:rPr>
          <w:color w:val="000000" w:themeColor="text1"/>
          <w14:textFill>
            <w14:solidFill>
              <w14:schemeClr w14:val="tx1"/>
            </w14:solidFill>
          </w14:textFill>
        </w:rPr>
        <w:t>250m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水质达</w:t>
      </w:r>
      <w:r>
        <w:rPr>
          <w:color w:val="000000" w:themeColor="text1"/>
          <w14:textFill>
            <w14:solidFill>
              <w14:schemeClr w14:val="tx1"/>
            </w14:solidFill>
          </w14:textFill>
        </w:rPr>
        <w:t>《城镇污水处理厂污染物排放标准》（GB 18918-2002）一级B标准</w:t>
      </w:r>
      <w:r>
        <w:rPr>
          <w:rFonts w:hint="eastAsia"/>
          <w:color w:val="000000" w:themeColor="text1"/>
          <w14:textFill>
            <w14:solidFill>
              <w14:schemeClr w14:val="tx1"/>
            </w14:solidFill>
          </w14:textFill>
        </w:rPr>
        <w:t>后排放。</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根据污水处理厂设计处理规模以及设计出水水质，入河排污口排放的污水所含主要污染物种类及其排放浓度、排放总量如</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1所示。</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排放污染物种类及浓度、总量（按一级B标核算总量）</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687"/>
        <w:gridCol w:w="168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367" w:type="dxa"/>
            <w:vAlign w:val="center"/>
          </w:tcPr>
          <w:p>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231" w:type="dxa"/>
            <w:vAlign w:val="center"/>
          </w:tcPr>
          <w:p>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687" w:type="dxa"/>
            <w:vAlign w:val="center"/>
          </w:tcPr>
          <w:p>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683" w:type="dxa"/>
            <w:vAlign w:val="center"/>
          </w:tcPr>
          <w:p>
            <w:pPr>
              <w:pStyle w:val="58"/>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c>
          <w:tcPr>
            <w:tcW w:w="1231" w:type="dxa"/>
            <w:vAlign w:val="center"/>
          </w:tcPr>
          <w:p>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去除率（</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367" w:type="dxa"/>
            <w:vAlign w:val="center"/>
          </w:tcPr>
          <w:p>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91250</w:t>
            </w:r>
          </w:p>
        </w:tc>
        <w:tc>
          <w:tcPr>
            <w:tcW w:w="1687" w:type="dxa"/>
            <w:vAlign w:val="center"/>
          </w:tcPr>
          <w:p>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683" w:type="dxa"/>
            <w:vAlign w:val="center"/>
          </w:tcPr>
          <w:p>
            <w:pPr>
              <w:pStyle w:val="58"/>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91250</w:t>
            </w:r>
          </w:p>
        </w:tc>
        <w:tc>
          <w:tcPr>
            <w:tcW w:w="1231" w:type="dxa"/>
            <w:vAlign w:val="center"/>
          </w:tcPr>
          <w:p>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szCs w:val="21"/>
                <w14:textFill>
                  <w14:solidFill>
                    <w14:schemeClr w14:val="tx1"/>
                  </w14:solidFill>
                </w14:textFill>
              </w:rPr>
            </w:pPr>
            <w:bookmarkStart w:id="104" w:name="OLE_LINK29" w:colFirst="2" w:colLast="7"/>
            <w:bookmarkStart w:id="105" w:name="_Hlk402275149"/>
            <w:r>
              <w:rPr>
                <w:color w:val="000000" w:themeColor="text1"/>
                <w:szCs w:val="21"/>
                <w14:textFill>
                  <w14:solidFill>
                    <w14:schemeClr w14:val="tx1"/>
                  </w14:solidFill>
                </w14:textFill>
              </w:rPr>
              <w:t>COD</w:t>
            </w:r>
          </w:p>
        </w:tc>
        <w:tc>
          <w:tcPr>
            <w:tcW w:w="1367"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231"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31.938</w:t>
            </w:r>
          </w:p>
        </w:tc>
        <w:tc>
          <w:tcPr>
            <w:tcW w:w="168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683"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.475</w:t>
            </w:r>
          </w:p>
        </w:tc>
        <w:tc>
          <w:tcPr>
            <w:tcW w:w="1231" w:type="dxa"/>
            <w:vAlign w:val="center"/>
          </w:tcPr>
          <w:p>
            <w:pPr>
              <w:widowControl/>
              <w:autoSpaceDE/>
              <w:autoSpaceDN/>
              <w:adjustRightInd/>
              <w:snapToGrid/>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snapToGrid/>
                <w:color w:val="000000" w:themeColor="text1"/>
                <w:sz w:val="21"/>
                <w:szCs w:val="21"/>
                <w14:textFill>
                  <w14:solidFill>
                    <w14:schemeClr w14:val="tx1"/>
                  </w14:solidFill>
                </w14:textFill>
              </w:rPr>
              <w:t>8</w:t>
            </w:r>
            <w:r>
              <w:rPr>
                <w:snapToGrid/>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7" w:type="dxa"/>
            <w:vAlign w:val="center"/>
          </w:tcPr>
          <w:p>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160</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4.6</w:t>
            </w:r>
          </w:p>
        </w:tc>
        <w:tc>
          <w:tcPr>
            <w:tcW w:w="168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.825</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7" w:type="dxa"/>
            <w:vAlign w:val="center"/>
          </w:tcPr>
          <w:p>
            <w:pPr>
              <w:pStyle w:val="58"/>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200</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8.25</w:t>
            </w:r>
          </w:p>
        </w:tc>
        <w:tc>
          <w:tcPr>
            <w:tcW w:w="168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.825</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367" w:type="dxa"/>
            <w:vAlign w:val="center"/>
          </w:tcPr>
          <w:p>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40</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.65</w:t>
            </w:r>
          </w:p>
        </w:tc>
        <w:tc>
          <w:tcPr>
            <w:tcW w:w="168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83"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.735</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TN</w:t>
            </w:r>
          </w:p>
        </w:tc>
        <w:tc>
          <w:tcPr>
            <w:tcW w:w="1367" w:type="dxa"/>
            <w:vAlign w:val="center"/>
          </w:tcPr>
          <w:p>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50</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.5625</w:t>
            </w:r>
          </w:p>
        </w:tc>
        <w:tc>
          <w:tcPr>
            <w:tcW w:w="168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683"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.825</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367" w:type="dxa"/>
            <w:vAlign w:val="center"/>
          </w:tcPr>
          <w:p>
            <w:pPr>
              <w:pStyle w:val="58"/>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.365</w:t>
            </w:r>
          </w:p>
        </w:tc>
        <w:tc>
          <w:tcPr>
            <w:tcW w:w="1687" w:type="dxa"/>
            <w:vAlign w:val="center"/>
          </w:tcPr>
          <w:p>
            <w:pPr>
              <w:pStyle w:val="58"/>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683"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.0915</w:t>
            </w:r>
          </w:p>
        </w:tc>
        <w:tc>
          <w:tcPr>
            <w:tcW w:w="1231" w:type="dxa"/>
            <w:vAlign w:val="center"/>
          </w:tcPr>
          <w:p>
            <w:pPr>
              <w:pStyle w:val="5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0</w:t>
            </w:r>
          </w:p>
        </w:tc>
      </w:tr>
      <w:bookmarkEnd w:id="104"/>
      <w:bookmarkEnd w:id="105"/>
    </w:tbl>
    <w:p>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由表</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可以看出，本项目采用的</w:t>
      </w:r>
      <w:r>
        <w:rPr>
          <w:rFonts w:hint="eastAsia"/>
          <w:color w:val="000000" w:themeColor="text1"/>
          <w:lang w:val="zh-CN"/>
          <w14:textFill>
            <w14:solidFill>
              <w14:schemeClr w14:val="tx1"/>
            </w14:solidFill>
          </w14:textFill>
        </w:rPr>
        <w:t>“</w:t>
      </w:r>
      <w:r>
        <w:rPr>
          <w:color w:val="000000" w:themeColor="text1"/>
          <w14:textFill>
            <w14:solidFill>
              <w14:schemeClr w14:val="tx1"/>
            </w14:solidFill>
          </w14:textFill>
        </w:rPr>
        <w:t>AO+化学除磷+消毒</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工艺，具有良好的去除COD、脱氮除磷效果。</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06" w:name="_Toc14681"/>
      <w:bookmarkStart w:id="107" w:name="_Toc184805918"/>
      <w:r>
        <w:rPr>
          <w:color w:val="000000" w:themeColor="text1"/>
          <w14:textFill>
            <w14:solidFill>
              <w14:schemeClr w14:val="tx1"/>
            </w14:solidFill>
          </w14:textFill>
        </w:rPr>
        <w:t>入河排污口设置可行性分析论证</w:t>
      </w:r>
      <w:bookmarkEnd w:id="106"/>
      <w:bookmarkEnd w:id="107"/>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产业政策符合性分析</w:t>
      </w:r>
    </w:p>
    <w:p>
      <w:pPr>
        <w:ind w:firstLine="480"/>
        <w:rPr>
          <w:color w:val="000000" w:themeColor="text1"/>
          <w:spacing w:val="6"/>
          <w:szCs w:val="26"/>
          <w14:textFill>
            <w14:solidFill>
              <w14:schemeClr w14:val="tx1"/>
            </w14:solidFill>
          </w14:textFill>
        </w:rPr>
      </w:pPr>
      <w:r>
        <w:rPr>
          <w:color w:val="000000" w:themeColor="text1"/>
          <w14:textFill>
            <w14:solidFill>
              <w14:schemeClr w14:val="tx1"/>
            </w14:solidFill>
          </w14:textFill>
        </w:rPr>
        <w:t>根据《产业结构调整指导目录（2024年本）》</w:t>
      </w:r>
      <w:r>
        <w:rPr>
          <w:rFonts w:hint="eastAsia"/>
          <w:color w:val="000000" w:themeColor="text1"/>
          <w14:textFill>
            <w14:solidFill>
              <w14:schemeClr w14:val="tx1"/>
            </w14:solidFill>
          </w14:textFill>
        </w:rPr>
        <w:t>，大同镇污水处理厂</w:t>
      </w:r>
      <w:r>
        <w:rPr>
          <w:color w:val="000000" w:themeColor="text1"/>
          <w:spacing w:val="6"/>
          <w:szCs w:val="26"/>
          <w14:textFill>
            <w14:solidFill>
              <w14:schemeClr w14:val="tx1"/>
            </w14:solidFill>
          </w14:textFill>
        </w:rPr>
        <w:t>属于目录中的第一类鼓励类：</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四十三、环境保护与资源节约综合利用，15、</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三废</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综合利用及治理</w:t>
      </w:r>
      <w:r>
        <w:rPr>
          <w:color w:val="000000" w:themeColor="text1"/>
          <w:spacing w:val="6"/>
          <w:szCs w:val="26"/>
          <w14:textFill>
            <w14:solidFill>
              <w14:schemeClr w14:val="tx1"/>
            </w14:solidFill>
          </w14:textFill>
        </w:rPr>
        <w:t>技术、装备和</w:t>
      </w:r>
      <w:r>
        <w:rPr>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，项目的建设符合国家的产业政策</w:t>
      </w:r>
      <w:r>
        <w:rPr>
          <w:color w:val="000000" w:themeColor="text1"/>
          <w:szCs w:val="26"/>
          <w:lang w:val="zh-CN"/>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与《入河排污口监督管理办法》的符合性</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与《入河排污口监督管理办法》的符合性</w:t>
      </w:r>
    </w:p>
    <w:tbl>
      <w:tblPr>
        <w:tblStyle w:val="3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104"/>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《入河排污口监督管理办法》第十四条</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有下列情形之一的，不予同意设置入河排污口：</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不存在下列情形</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（一）在饮用水水源保护区内设置入河排污口的；</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本项目涉及的水功能区为“诸佛江诸佛鹿角景观娱乐用水区”，不属于饮用水水源保护区</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（二）在省级以上人民政府要求削减排污总量的水域设置入河排污口的；</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诸佛江不属于重庆市人民政府要求削减排污总量的水域</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（三）入河排污口设置可能使水域水质达不到水功能区要求的；</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经过预测，入河排污口设置后，“诸佛江诸佛鹿角景观娱乐用水区”水域水质仍为</w:t>
            </w:r>
            <w:r>
              <w:rPr>
                <w:rFonts w:hint="eastAsia" w:ascii="宋体" w:hAnsi="宋体"/>
                <w:color w:val="000000" w:themeColor="text1"/>
                <w14:textFill>
                  <w14:solidFill>
                    <w14:schemeClr w14:val="tx1"/>
                  </w14:solidFill>
                </w14:textFill>
              </w:rPr>
              <w:t>Ⅲ类</w:t>
            </w:r>
            <w:r>
              <w:rPr>
                <w:rFonts w:hint="eastAsia"/>
                <w:color w:val="000000" w:themeColor="text1"/>
                <w14:textFill>
                  <w14:solidFill>
                    <w14:schemeClr w14:val="tx1"/>
                  </w14:solidFill>
                </w14:textFill>
              </w:rPr>
              <w:t>，未超过水功能区要求</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（四）入河排污口设置直接影响合法取水户用水安全的；</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经调查，排污口下游无取水点。排污口设置后下游水质《地表水环境质量标准》（GB</w:t>
            </w:r>
            <w:r>
              <w:rPr>
                <w:color w:val="000000" w:themeColor="text1"/>
                <w14:textFill>
                  <w14:solidFill>
                    <w14:schemeClr w14:val="tx1"/>
                  </w14:solidFill>
                </w14:textFill>
              </w:rPr>
              <w:t xml:space="preserve"> 3838-2002</w:t>
            </w:r>
            <w:r>
              <w:rPr>
                <w:rFonts w:hint="eastAsia"/>
                <w:color w:val="000000" w:themeColor="text1"/>
                <w14:textFill>
                  <w14:solidFill>
                    <w14:schemeClr w14:val="tx1"/>
                  </w14:solidFill>
                </w14:textFill>
              </w:rPr>
              <w:t>）Ⅲ类水域功能标准值。不影响合法取水户用水安全</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（五）入河排污口设置不符合防洪要求的；</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该项目入河排污口设置满足诸佛江</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年一遇的防洪标准，符合防洪要求。</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（六）不符合法律、法规和国家产业政策规定的；</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年本）》第一类鼓励类，符合法律、法规和国家产业政策规定。</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（七）其他不符合国务院水行政主管部门规定条件的。</w:t>
            </w:r>
          </w:p>
        </w:tc>
        <w:tc>
          <w:tcPr>
            <w:tcW w:w="5104"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本次排污口的设置符合其他国务院水行政主管部门规定条件。</w:t>
            </w:r>
          </w:p>
        </w:tc>
        <w:tc>
          <w:tcPr>
            <w:tcW w:w="64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《水污染防治行动计划》的符合性</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根据国务院2015年4月2日发布的国发〔201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〕17号《水污染防治行动计划》：“</w:t>
      </w:r>
      <w:r>
        <w:rPr>
          <w:rFonts w:hAnsi="宋体"/>
          <w:color w:val="000000" w:themeColor="text1"/>
          <w14:textFill>
            <w14:solidFill>
              <w14:schemeClr w14:val="tx1"/>
            </w14:solidFill>
          </w14:textFill>
        </w:rPr>
        <w:t>水环境保护事关人民群众切身利益，事关全面建成小康社会，事关实现中华民族伟大复兴中国梦。当前，我国一些地区水环境质量差、水生态受损重、环境隐患多等问题十分突出，影响和损害群众健康，不利于经济社会持续发展。为切实加大水污染防治力度，保障国家水安全，制定本行动计划</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到</w:t>
      </w:r>
      <w:r>
        <w:rPr>
          <w:color w:val="000000" w:themeColor="text1"/>
          <w14:textFill>
            <w14:solidFill>
              <w14:schemeClr w14:val="tx1"/>
            </w14:solidFill>
          </w14:textFill>
        </w:rPr>
        <w:t>2020</w:t>
      </w:r>
      <w:r>
        <w:rPr>
          <w:rFonts w:hAnsi="宋体"/>
          <w:color w:val="000000" w:themeColor="text1"/>
          <w14:textFill>
            <w14:solidFill>
              <w14:schemeClr w14:val="tx1"/>
            </w14:solidFill>
          </w14:textFill>
        </w:rPr>
        <w:t>年，全国水环境质量得到阶段性改善，污染严重水体较大幅度减少，饮用水安全保障水平持续提升，地下水超采得到严格控制，地下水污染加剧趋势得到初步遏制，长江等七大重点流域水质优良（达到或优于Ⅲ类）比例总体达到</w:t>
      </w:r>
      <w:r>
        <w:rPr>
          <w:color w:val="000000" w:themeColor="text1"/>
          <w14:textFill>
            <w14:solidFill>
              <w14:schemeClr w14:val="tx1"/>
            </w14:solidFill>
          </w14:textFill>
        </w:rPr>
        <w:t>70%</w:t>
      </w:r>
      <w:r>
        <w:rPr>
          <w:rFonts w:hAnsi="宋体"/>
          <w:color w:val="000000" w:themeColor="text1"/>
          <w14:textFill>
            <w14:solidFill>
              <w14:schemeClr w14:val="tx1"/>
            </w14:solidFill>
          </w14:textFill>
        </w:rPr>
        <w:t>以上，全国地下水质量极差的比例控制在</w:t>
      </w:r>
      <w:r>
        <w:rPr>
          <w:color w:val="000000" w:themeColor="text1"/>
          <w14:textFill>
            <w14:solidFill>
              <w14:schemeClr w14:val="tx1"/>
            </w14:solidFill>
          </w14:textFill>
        </w:rPr>
        <w:t>15%</w:t>
      </w:r>
      <w:r>
        <w:rPr>
          <w:rFonts w:hAnsi="宋体"/>
          <w:color w:val="000000" w:themeColor="text1"/>
          <w14:textFill>
            <w14:solidFill>
              <w14:schemeClr w14:val="tx1"/>
            </w14:solidFill>
          </w14:textFill>
        </w:rPr>
        <w:t>左右。到</w:t>
      </w:r>
      <w:r>
        <w:rPr>
          <w:color w:val="000000" w:themeColor="text1"/>
          <w14:textFill>
            <w14:solidFill>
              <w14:schemeClr w14:val="tx1"/>
            </w14:solidFill>
          </w14:textFill>
        </w:rPr>
        <w:t>2030</w:t>
      </w:r>
      <w:r>
        <w:rPr>
          <w:rFonts w:hAnsi="宋体"/>
          <w:color w:val="000000" w:themeColor="text1"/>
          <w14:textFill>
            <w14:solidFill>
              <w14:schemeClr w14:val="tx1"/>
            </w14:solidFill>
          </w14:textFill>
        </w:rPr>
        <w:t>年，力争全国水环境质量总体改善，水生态系统功能初步恢复。到本世纪中叶，生态环境质量全面改善，生态系统实现良性循环。全国七大重点流域水质优良比例总体达到</w:t>
      </w:r>
      <w:r>
        <w:rPr>
          <w:color w:val="000000" w:themeColor="text1"/>
          <w14:textFill>
            <w14:solidFill>
              <w14:schemeClr w14:val="tx1"/>
            </w14:solidFill>
          </w14:textFill>
        </w:rPr>
        <w:t>75%</w:t>
      </w:r>
      <w:r>
        <w:rPr>
          <w:rFonts w:hAnsi="宋体"/>
          <w:color w:val="000000" w:themeColor="text1"/>
          <w14:textFill>
            <w14:solidFill>
              <w14:schemeClr w14:val="tx1"/>
            </w14:solidFill>
          </w14:textFill>
        </w:rPr>
        <w:t>以上</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本项目废水工艺为</w:t>
      </w:r>
      <w:bookmarkStart w:id="108" w:name="OLE_LINK4"/>
      <w:bookmarkStart w:id="109" w:name="OLE_LINK3"/>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AO+化学除磷+消毒工艺</w:t>
      </w:r>
      <w:bookmarkEnd w:id="108"/>
      <w:bookmarkEnd w:id="109"/>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，出水能够稳定达到国家《城镇污水处理厂污染物排放标准》（GB 18918-2002）一级B标准，有利于地表水环境的改善。因此本项目符合《水污染防治行动计划》的相关要求</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与《重庆市水污染防治条例》的符合性</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根据《重庆市水污染防治条例》：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六条向水体排放水污染物，不得超过国家或者本市规定的水污染物排放标准和重点水污染排放总量控制指标。直接或者间接向水体排放工业废水和医疗污水以及其他按照规定应当取得排污许可证方可排放废水、污水的企业事业单位和其他生产经营者，城乡污水集中处理设施的运营单位，应当按照规定取得排污许可证。排污许可证应当明确排放水污染物的种类、浓度、总量和排放去向等要求。禁止企业事业单位和其他生产经营者无排污许可证或者违反排污许可证的规定向水体排放废水、污水。</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第十七条企业事业单位和其他生产经营者应当按照相关要求依法设置排污口，并确保排污口污水达标排放。排污口应当设置明显标志牌，标明监督管理单位和</w:t>
      </w:r>
      <w:r>
        <w:fldChar w:fldCharType="begin"/>
      </w:r>
      <w:r>
        <w:instrText xml:space="preserve"> HYPERLINK "https://baike.baidu.com/item/%E6%8A%95%E8%AF%89%E4%B8%BE%E6%8A%A5/9158565" \t "_blank" </w:instrText>
      </w:r>
      <w:r>
        <w:fldChar w:fldCharType="separate"/>
      </w:r>
      <w:r>
        <w:rPr>
          <w:color w:val="000000" w:themeColor="text1"/>
          <w14:textFill>
            <w14:solidFill>
              <w14:schemeClr w14:val="tx1"/>
            </w14:solidFill>
          </w14:textFill>
        </w:rPr>
        <w:t>投诉举报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电话等。</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八条企业事业单位和其他生产经营者应当保持水污染防治设施的正常使用，如实记录污染防治设施的运行、维护和污染物排放等情况备查。实行排污许可管理的企业事业单位和其他生产经营者应当按照国家有关规定和监测规范，对所排放的水污染物自行监测，保存原始监测记录，并对监测数据的真实性和准确性负责。重点排污单位应当按照国家和本市有关规定安装水污染物排放自动监测设备，与生态环境主管部门的监控设备联网，并保证监测设备正常运行。禁止利用渗井、渗坑、裂隙、溶洞，私设暗管，篡改、伪造监测数据，或者不正常运行水污染防治设施等逃避监管的方式排放水污染物。</w:t>
      </w:r>
      <w:r>
        <w:rPr>
          <w:rFonts w:ascii="宋体" w:hAnsi="宋体"/>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三条城乡生活污水集中处理设施的运营单位，应当保持处理设施的正常运行，符合国家和本市规定的排放标准，并对城乡生活污水集中处理设施的出水水质负责。城乡生活污水集中处理设施的运营单位或者污泥处理处置单位应当安全处理处置污泥，保证处理处置后的污泥符合国家标准，并对污泥的去向等进行记录，防止造成二次污染。</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第三十四条市、区县（自治县）人民政府应当制定并实施海绵城市规划，加强对初期雨水的排放调控和污染防治。</w:t>
      </w:r>
      <w:r>
        <w:rPr>
          <w:rFonts w:ascii="宋体" w:hAnsi="宋体"/>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本项目尾水达</w:t>
      </w:r>
      <w:r>
        <w:rPr>
          <w:rFonts w:hAnsi="宋体"/>
          <w:color w:val="000000" w:themeColor="text1"/>
          <w14:textFill>
            <w14:solidFill>
              <w14:schemeClr w14:val="tx1"/>
            </w14:solidFill>
          </w14:textFill>
        </w:rPr>
        <w:t>《城镇污水处理厂污染物排放标准》（</w:t>
      </w:r>
      <w:r>
        <w:rPr>
          <w:color w:val="000000" w:themeColor="text1"/>
          <w14:textFill>
            <w14:solidFill>
              <w14:schemeClr w14:val="tx1"/>
            </w14:solidFill>
          </w14:textFill>
        </w:rPr>
        <w:t>GB 18918-2002</w:t>
      </w:r>
      <w:r>
        <w:rPr>
          <w:rFonts w:hAnsi="宋体"/>
          <w:color w:val="000000" w:themeColor="text1"/>
          <w14:textFill>
            <w14:solidFill>
              <w14:schemeClr w14:val="tx1"/>
            </w14:solidFill>
          </w14:textFill>
        </w:rPr>
        <w:t>）一级</w:t>
      </w:r>
      <w:r>
        <w:rPr>
          <w:rFonts w:hint="eastAsia"/>
          <w:color w:val="000000" w:themeColor="text1"/>
          <w14:textFill>
            <w14:solidFill>
              <w14:schemeClr w14:val="tx1"/>
            </w14:solidFill>
          </w14:textFill>
        </w:rPr>
        <w:t>B</w:t>
      </w:r>
      <w:r>
        <w:rPr>
          <w:rFonts w:hAnsi="宋体"/>
          <w:color w:val="000000" w:themeColor="text1"/>
          <w14:textFill>
            <w14:solidFill>
              <w14:schemeClr w14:val="tx1"/>
            </w14:solidFill>
          </w14:textFill>
        </w:rPr>
        <w:t>标准</w:t>
      </w:r>
      <w:r>
        <w:rPr>
          <w:color w:val="000000" w:themeColor="text1"/>
          <w14:textFill>
            <w14:solidFill>
              <w14:schemeClr w14:val="tx1"/>
            </w14:solidFill>
          </w14:textFill>
        </w:rPr>
        <w:t>后排入</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。同时按要求取得排污许可证，排污口设置标识标牌，设置自动监测设备等。综上所述，本项目符合《重庆市水污染防治条例》的要求。</w:t>
      </w:r>
    </w:p>
    <w:p>
      <w:pPr>
        <w:pStyle w:val="44"/>
        <w:rPr>
          <w:color w:val="000000" w:themeColor="text1"/>
          <w14:textFill>
            <w14:solidFill>
              <w14:schemeClr w14:val="tx1"/>
            </w14:solidFill>
          </w14:textFill>
        </w:rPr>
      </w:pPr>
      <w:bookmarkStart w:id="110" w:name="_Toc104903752"/>
      <w:bookmarkStart w:id="111" w:name="_Toc24551"/>
      <w:bookmarkStart w:id="112" w:name="_Toc104903737"/>
      <w:bookmarkStart w:id="113" w:name="_Toc467139911"/>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.3.5 </w:t>
      </w:r>
      <w:bookmarkEnd w:id="110"/>
      <w:r>
        <w:rPr>
          <w:rFonts w:hint="eastAsia"/>
          <w:color w:val="000000" w:themeColor="text1"/>
          <w14:textFill>
            <w14:solidFill>
              <w14:schemeClr w14:val="tx1"/>
            </w14:solidFill>
          </w14:textFill>
        </w:rPr>
        <w:t>与“三线一单”符合性分析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县划定的生态红线范围内，本项目符合生态保护红线的要求。</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大同镇污水处理厂项目所在区域诸佛江水质能满足《地表水环境质量标准》（GB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项目属于污水处理厂建设项目，不属于高能耗、高污染、资源型项目，用水来当地自来水供应，用电来自当地市政供电管网。项目的水、电等资源利用不会突破所在区域的资源利用上线</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pPr>
              <w:pStyle w:val="121"/>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pPr>
              <w:pStyle w:val="121"/>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pPr>
              <w:pStyle w:val="121"/>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numPr>
                <w:ilvl w:val="0"/>
                <w:numId w:val="7"/>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本项目为建制乡镇生活污水处理设施，其出水水质达</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一级A标及以上排放标准设计、施工、验收，设建制乡镇生活污水处理施出水水质不得低于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时间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pPr>
              <w:spacing w:line="240" w:lineRule="auto"/>
              <w:ind w:firstLine="0" w:firstLineChars="0"/>
              <w:rPr>
                <w:rFonts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植被恢复和复垦，优先实施位于自然保护区及生态保护红线范围内，露天矿山堆场、已经硬化的工业广场等宜复耕复绿，高速公路沿线等可视范围内的三类矿山，逐步实施历史遗留和关闭矿山修复治理。</w:t>
            </w:r>
          </w:p>
        </w:tc>
        <w:tc>
          <w:tcPr>
            <w:tcW w:w="107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pPr>
              <w:spacing w:line="240" w:lineRule="auto"/>
              <w:ind w:firstLine="42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pPr>
              <w:spacing w:line="240" w:lineRule="auto"/>
              <w:ind w:firstLine="42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r>
    </w:tbl>
    <w:p>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r>
        <w:rPr>
          <w:rFonts w:cs="Times New Roman"/>
          <w:color w:val="000000" w:themeColor="text1"/>
          <w14:textFill>
            <w14:solidFill>
              <w14:schemeClr w14:val="tx1"/>
            </w14:solidFill>
          </w14:textFill>
        </w:rPr>
        <w:t>。</w:t>
      </w:r>
    </w:p>
    <w:bookmarkEnd w:id="111"/>
    <w:bookmarkEnd w:id="112"/>
    <w:bookmarkEnd w:id="113"/>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.3.6 </w:t>
      </w:r>
      <w:r>
        <w:rPr>
          <w:rFonts w:hint="eastAsia"/>
          <w:color w:val="000000" w:themeColor="text1"/>
          <w14:textFill>
            <w14:solidFill>
              <w14:schemeClr w14:val="tx1"/>
            </w14:solidFill>
          </w14:textFill>
        </w:rPr>
        <w:t>达标排放可行性分析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本工程污水处理工艺对照《排污许可证申请与核发技术规范 水处理（试行）》（HJ</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978-2018）分析，污水处理可行性技术参照表5.3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表5.3</w:t>
      </w:r>
      <w:r>
        <w:rPr>
          <w:rFonts w:cs="Times New Roman"/>
          <w:b/>
          <w:color w:val="000000" w:themeColor="text1"/>
          <w:sz w:val="21"/>
          <w:szCs w:val="21"/>
          <w14:textFill>
            <w14:solidFill>
              <w14:schemeClr w14:val="tx1"/>
            </w14:solidFill>
          </w14:textFill>
        </w:rPr>
        <w:t xml:space="preserve">-4  </w:t>
      </w:r>
      <w:r>
        <w:rPr>
          <w:rFonts w:hint="eastAsia" w:cs="Times New Roman"/>
          <w:b/>
          <w:color w:val="000000" w:themeColor="text1"/>
          <w:sz w:val="21"/>
          <w:szCs w:val="21"/>
          <w14:textFill>
            <w14:solidFill>
              <w14:schemeClr w14:val="tx1"/>
            </w14:solidFill>
          </w14:textFill>
        </w:rPr>
        <w:t>污水处理可行技术参照表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14"/>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废水类别</w:t>
            </w:r>
          </w:p>
        </w:tc>
        <w:tc>
          <w:tcPr>
            <w:tcW w:w="1614" w:type="dxa"/>
            <w:shd w:val="clear" w:color="auto" w:fill="auto"/>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w:t>
            </w:r>
          </w:p>
        </w:tc>
        <w:tc>
          <w:tcPr>
            <w:tcW w:w="5607" w:type="dxa"/>
            <w:shd w:val="clear" w:color="auto" w:fill="auto"/>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14" w:type="dxa"/>
            <w:shd w:val="clear" w:color="auto" w:fill="auto"/>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执行GB18918中一级标准的B标准</w:t>
            </w:r>
          </w:p>
        </w:tc>
        <w:tc>
          <w:tcPr>
            <w:tcW w:w="5607" w:type="dxa"/>
            <w:shd w:val="clear" w:color="auto" w:fill="auto"/>
            <w:vAlign w:val="center"/>
          </w:tcPr>
          <w:p>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预处理：格栅、调节</w:t>
            </w:r>
            <w:r>
              <w:rPr>
                <w:rFonts w:hint="eastAsia"/>
                <w:color w:val="000000" w:themeColor="text1"/>
                <w:sz w:val="21"/>
                <w:szCs w:val="21"/>
                <w14:textFill>
                  <w14:solidFill>
                    <w14:schemeClr w14:val="tx1"/>
                  </w14:solidFill>
                </w14:textFill>
              </w:rPr>
              <w:t>池、沉砂池、初沉池、厌氧处理设施、气浮设施、水解酸化池、混凝沉淀池等</w:t>
            </w:r>
            <w:r>
              <w:rPr>
                <w:color w:val="000000" w:themeColor="text1"/>
                <w:sz w:val="21"/>
                <w:szCs w:val="21"/>
                <w14:textFill>
                  <w14:solidFill>
                    <w14:schemeClr w14:val="tx1"/>
                  </w14:solidFill>
                </w14:textFill>
              </w:rPr>
              <w:t>；</w:t>
            </w:r>
          </w:p>
          <w:p>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生化处理：缺氧好氧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、厌氧缺氧好氧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、序批式活性污泥、接触氧化、氧化沟、移动生物床反应器、膜生物反应器</w:t>
            </w:r>
            <w:r>
              <w:rPr>
                <w:rFonts w:hint="eastAsia"/>
                <w:color w:val="000000" w:themeColor="text1"/>
                <w:sz w:val="21"/>
                <w:szCs w:val="21"/>
                <w14:textFill>
                  <w14:solidFill>
                    <w14:schemeClr w14:val="tx1"/>
                  </w14:solidFill>
                </w14:textFill>
              </w:rPr>
              <w:t>、二沉池等</w:t>
            </w:r>
            <w:r>
              <w:rPr>
                <w:color w:val="000000" w:themeColor="text1"/>
                <w:sz w:val="21"/>
                <w:szCs w:val="21"/>
                <w14:textFill>
                  <w14:solidFill>
                    <w14:schemeClr w14:val="tx1"/>
                  </w14:solidFill>
                </w14:textFill>
              </w:rPr>
              <w:t>；</w:t>
            </w:r>
          </w:p>
          <w:p>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深度处理：混凝沉淀、过滤、曝气生物滤池、微滤、超滤、消毒（次氯酸钠、臭氧、紫外、二氧化氯）</w:t>
            </w:r>
            <w:r>
              <w:rPr>
                <w:rFonts w:hint="eastAsia"/>
                <w:color w:val="000000" w:themeColor="text1"/>
                <w:sz w:val="21"/>
                <w:szCs w:val="21"/>
                <w14:textFill>
                  <w14:solidFill>
                    <w14:schemeClr w14:val="tx1"/>
                  </w14:solidFill>
                </w14:textFill>
              </w:rPr>
              <w:t>等</w:t>
            </w:r>
            <w:r>
              <w:rPr>
                <w:color w:val="000000" w:themeColor="text1"/>
                <w:sz w:val="21"/>
                <w:szCs w:val="21"/>
                <w14:textFill>
                  <w14:solidFill>
                    <w14:schemeClr w14:val="tx1"/>
                  </w14:solidFill>
                </w14:textFill>
              </w:rPr>
              <w:t>。</w:t>
            </w:r>
          </w:p>
        </w:tc>
      </w:tr>
    </w:tbl>
    <w:p>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本工程预处理采用格栅、调节池，生化处理采用缺氧池、好氧池、静沉区，深度处理采用混凝沉淀池、消毒池。因此，本项目采用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AO+化学除磷+消毒</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处理工艺是可行的。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主要建构筑物包括</w:t>
      </w:r>
      <w:r>
        <w:rPr>
          <w:rFonts w:hint="eastAsia"/>
          <w:color w:val="000000" w:themeColor="text1"/>
          <w14:textFill>
            <w14:solidFill>
              <w14:schemeClr w14:val="tx1"/>
            </w14:solidFill>
          </w14:textFill>
        </w:rPr>
        <w:t>格栅渠</w:t>
      </w:r>
      <w:r>
        <w:rPr>
          <w:rFonts w:hint="eastAsia"/>
          <w:color w:val="000000" w:themeColor="text1"/>
          <w:szCs w:val="21"/>
          <w14:textFill>
            <w14:solidFill>
              <w14:schemeClr w14:val="tx1"/>
            </w14:solidFill>
          </w14:textFill>
        </w:rPr>
        <w:t>、调节池、</w:t>
      </w:r>
      <w:r>
        <w:rPr>
          <w:rFonts w:hint="eastAsia"/>
          <w:color w:val="000000" w:themeColor="text1"/>
          <w14:textFill>
            <w14:solidFill>
              <w14:schemeClr w14:val="tx1"/>
            </w14:solidFill>
          </w14:textFill>
        </w:rPr>
        <w:t>缺氧池、好氧池、静沉区、混凝沉淀池、消毒池、出水计量</w:t>
      </w:r>
      <w:r>
        <w:rPr>
          <w:color w:val="000000" w:themeColor="text1"/>
          <w:szCs w:val="21"/>
          <w14:textFill>
            <w14:solidFill>
              <w14:schemeClr w14:val="tx1"/>
            </w14:solidFill>
          </w14:textFill>
        </w:rPr>
        <w:t>渠</w:t>
      </w:r>
      <w:r>
        <w:rPr>
          <w:rFonts w:hint="eastAsia"/>
          <w:color w:val="000000" w:themeColor="text1"/>
          <w:szCs w:val="21"/>
          <w14:textFill>
            <w14:solidFill>
              <w14:schemeClr w14:val="tx1"/>
            </w14:solidFill>
          </w14:textFill>
        </w:rPr>
        <w:t>、污泥池、污泥脱水间</w:t>
      </w:r>
      <w:r>
        <w:rPr>
          <w:color w:val="000000" w:themeColor="text1"/>
          <w14:textFill>
            <w14:solidFill>
              <w14:schemeClr w14:val="tx1"/>
            </w14:solidFill>
          </w14:textFill>
        </w:rPr>
        <w:t>、鼓风机房等。经各处理构筑物分级去除后COD、BOD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-N、TN、TP的总去除率分别可达83%、90%、90%、88%、73%、80%，去除率总体较高，其出水水质均能达到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14" w:name="_Toc184805919"/>
      <w:r>
        <w:rPr>
          <w:rFonts w:hint="eastAsia"/>
          <w:color w:val="000000" w:themeColor="text1"/>
          <w14:textFill>
            <w14:solidFill>
              <w14:schemeClr w14:val="tx1"/>
            </w14:solidFill>
          </w14:textFill>
        </w:rPr>
        <w:t>入河排污口设置方案</w:t>
      </w:r>
      <w:bookmarkEnd w:id="114"/>
    </w:p>
    <w:p>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大同镇污水处理厂入河排污口设置方案：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olor w:val="000000" w:themeColor="text1"/>
          <w14:textFill>
            <w14:solidFill>
              <w14:schemeClr w14:val="tx1"/>
            </w14:solidFill>
          </w14:textFill>
        </w:rPr>
        <w:t>诸佛江右岸，污水处理厂南侧小溪沟，地理位置：</w:t>
      </w:r>
      <w:r>
        <w:rPr>
          <w:rFonts w:hint="eastAsia"/>
          <w:color w:val="000000" w:themeColor="text1"/>
          <w:spacing w:val="-13"/>
          <w14:textFill>
            <w14:solidFill>
              <w14:schemeClr w14:val="tx1"/>
            </w14:solidFill>
          </w14:textFill>
        </w:rPr>
        <w:t>东经：108.517681°，北纬：29.336179°。</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rPr>
          <w:rFonts w:hint="eastAsia" w:cs="Times New Roman"/>
          <w:color w:val="000000" w:themeColor="text1"/>
          <w14:textFill>
            <w14:solidFill>
              <w14:schemeClr w14:val="tx1"/>
            </w14:solidFill>
          </w14:textFill>
        </w:rPr>
        <w:t>。</w:t>
      </w: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55880</wp:posOffset>
                </wp:positionV>
                <wp:extent cx="2656205" cy="2570480"/>
                <wp:effectExtent l="0" t="0" r="0" b="77470"/>
                <wp:wrapNone/>
                <wp:docPr id="326" name="组合 326"/>
                <wp:cNvGraphicFramePr/>
                <a:graphic xmlns:a="http://schemas.openxmlformats.org/drawingml/2006/main">
                  <a:graphicData uri="http://schemas.microsoft.com/office/word/2010/wordprocessingGroup">
                    <wpg:wgp>
                      <wpg:cNvGrpSpPr/>
                      <wpg:grpSpPr>
                        <a:xfrm>
                          <a:off x="0" y="0"/>
                          <a:ext cx="2656435" cy="2570480"/>
                          <a:chOff x="889006" y="1757978"/>
                          <a:chExt cx="2656435" cy="2570480"/>
                        </a:xfrm>
                      </wpg:grpSpPr>
                      <wpg:grpSp>
                        <wpg:cNvPr id="52" name="组合 52"/>
                        <wpg:cNvGrpSpPr/>
                        <wpg:grpSpPr>
                          <a:xfrm>
                            <a:off x="889006" y="1757978"/>
                            <a:ext cx="2656435" cy="2035834"/>
                            <a:chOff x="-191228" y="2060705"/>
                            <a:chExt cx="2656435" cy="2035834"/>
                          </a:xfrm>
                        </wpg:grpSpPr>
                        <wps:wsp>
                          <wps:cNvPr id="48" name="直接箭头连接符 48"/>
                          <wps:cNvCnPr/>
                          <wps:spPr>
                            <a:xfrm flipH="1">
                              <a:off x="1335647" y="3686686"/>
                              <a:ext cx="380108" cy="40985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2"/>
                          <wps:cNvSpPr txBox="1">
                            <a:spLocks noChangeArrowheads="1"/>
                          </wps:cNvSpPr>
                          <wps:spPr bwMode="auto">
                            <a:xfrm>
                              <a:off x="1361364" y="3173515"/>
                              <a:ext cx="1103843" cy="495032"/>
                            </a:xfrm>
                            <a:prstGeom prst="rect">
                              <a:avLst/>
                            </a:prstGeom>
                            <a:solidFill>
                              <a:schemeClr val="bg1"/>
                            </a:solidFill>
                            <a:ln w="9525">
                              <a:noFill/>
                              <a:miter lim="800000"/>
                            </a:ln>
                          </wps:spPr>
                          <wps:txbx>
                            <w:txbxContent>
                              <w:p>
                                <w:pPr>
                                  <w:spacing w:line="240" w:lineRule="auto"/>
                                  <w:ind w:firstLine="0" w:firstLineChars="0"/>
                                  <w:jc w:val="center"/>
                                  <w:rPr>
                                    <w:b/>
                                    <w:bCs/>
                                    <w:color w:val="FF0000"/>
                                  </w:rPr>
                                </w:pPr>
                                <w:r>
                                  <w:rPr>
                                    <w:rFonts w:hint="eastAsia"/>
                                    <w:b/>
                                    <w:bCs/>
                                    <w:color w:val="FF0000"/>
                                  </w:rPr>
                                  <w:t>污水处理厂</w:t>
                                </w:r>
                              </w:p>
                              <w:p>
                                <w:pPr>
                                  <w:ind w:firstLine="0" w:firstLineChars="0"/>
                                  <w:rPr>
                                    <w:b/>
                                    <w:bCs/>
                                    <w:color w:val="FF0000"/>
                                  </w:rPr>
                                </w:pPr>
                                <w:r>
                                  <w:rPr>
                                    <w:rFonts w:hint="eastAsia"/>
                                    <w:b/>
                                    <w:bCs/>
                                    <w:color w:val="FF0000"/>
                                  </w:rPr>
                                  <w:t>南侧小溪沟</w:t>
                                </w:r>
                              </w:p>
                            </w:txbxContent>
                          </wps:txbx>
                          <wps:bodyPr rot="0" vert="horz" wrap="square" lIns="91440" tIns="45720" rIns="91440" bIns="45720" anchor="t" anchorCtr="0">
                            <a:noAutofit/>
                          </wps:bodyPr>
                        </wps:wsp>
                        <wps:wsp>
                          <wps:cNvPr id="50" name="直接箭头连接符 50"/>
                          <wps:cNvCnPr>
                            <a:stCxn id="51" idx="2"/>
                          </wps:cNvCnPr>
                          <wps:spPr>
                            <a:xfrm>
                              <a:off x="226884" y="2379447"/>
                              <a:ext cx="685973" cy="655958"/>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191228" y="2060705"/>
                              <a:ext cx="836295" cy="318770"/>
                            </a:xfrm>
                            <a:prstGeom prst="rect">
                              <a:avLst/>
                            </a:prstGeom>
                            <a:solidFill>
                              <a:schemeClr val="bg1"/>
                            </a:solidFill>
                            <a:ln w="9525">
                              <a:noFill/>
                              <a:miter lim="800000"/>
                            </a:ln>
                          </wps:spPr>
                          <wps:txbx>
                            <w:txbxContent>
                              <w:p>
                                <w:pPr>
                                  <w:ind w:firstLine="0" w:firstLineChars="0"/>
                                  <w:rPr>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排污管道</w:t>
                                </w:r>
                              </w:p>
                            </w:txbxContent>
                          </wps:txbx>
                          <wps:bodyPr rot="0" vert="horz" wrap="square" lIns="91440" tIns="45720" rIns="91440" bIns="45720" anchor="t" anchorCtr="0">
                            <a:noAutofit/>
                          </wps:bodyPr>
                        </wps:wsp>
                      </wpg:grpSp>
                      <wps:wsp>
                        <wps:cNvPr id="42" name="直接箭头连接符 42"/>
                        <wps:cNvCnPr/>
                        <wps:spPr>
                          <a:xfrm>
                            <a:off x="1535987" y="4164748"/>
                            <a:ext cx="674020" cy="163710"/>
                          </a:xfrm>
                          <a:prstGeom prst="straightConnector1">
                            <a:avLst/>
                          </a:prstGeom>
                          <a:ln w="38100">
                            <a:solidFill>
                              <a:srgbClr val="FF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文本框 2"/>
                        <wps:cNvSpPr txBox="1">
                          <a:spLocks noChangeArrowheads="1"/>
                        </wps:cNvSpPr>
                        <wps:spPr bwMode="auto">
                          <a:xfrm>
                            <a:off x="995180" y="3660083"/>
                            <a:ext cx="820124" cy="466746"/>
                          </a:xfrm>
                          <a:prstGeom prst="rect">
                            <a:avLst/>
                          </a:prstGeom>
                          <a:solidFill>
                            <a:schemeClr val="bg1"/>
                          </a:solidFill>
                          <a:ln w="9525">
                            <a:noFill/>
                            <a:miter lim="800000"/>
                          </a:ln>
                        </wps:spPr>
                        <wps:txbx>
                          <w:txbxContent>
                            <w:p>
                              <w:pPr>
                                <w:spacing w:line="240" w:lineRule="auto"/>
                                <w:ind w:firstLine="0" w:firstLineChars="0"/>
                                <w:jc w:val="center"/>
                                <w:rPr>
                                  <w:b/>
                                  <w:bCs/>
                                  <w:color w:val="FF00FF"/>
                                </w:rPr>
                              </w:pPr>
                              <w:r>
                                <w:rPr>
                                  <w:rFonts w:hint="eastAsia"/>
                                  <w:b/>
                                  <w:bCs/>
                                  <w:color w:val="FF00FF"/>
                                </w:rPr>
                                <w:t>泄洪沟</w:t>
                              </w:r>
                            </w:p>
                            <w:p>
                              <w:pPr>
                                <w:spacing w:line="240" w:lineRule="auto"/>
                                <w:ind w:firstLine="0" w:firstLineChars="0"/>
                                <w:jc w:val="center"/>
                                <w:rPr>
                                  <w:b/>
                                  <w:bCs/>
                                  <w:color w:val="FF00FF"/>
                                </w:rPr>
                              </w:pPr>
                              <w:r>
                                <w:rPr>
                                  <w:rFonts w:hint="eastAsia"/>
                                  <w:b/>
                                  <w:bCs/>
                                  <w:color w:val="FF00FF"/>
                                </w:rPr>
                                <w:t>水流方向</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top:4.4pt;height:202.4pt;width:209.15pt;mso-position-horizontal:center;mso-position-horizontal-relative:margin;z-index:251660288;mso-width-relative:page;mso-height-relative:page;" coordorigin="889006,1757978" coordsize="2656435,2570480" o:gfxdata="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">
                <o:lock v:ext="edit" aspectratio="f"/>
                <v:group id="_x0000_s1026" o:spid="_x0000_s1026" o:spt="203" style="position:absolute;left:889006;top:1757978;height:2035834;width:2656435;" coordorigin="-191228,2060705" coordsize="2656435,203583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335647;top:3686686;flip:x;height:409853;width:380108;" filled="f" stroked="t" coordsize="21600,21600" o:gfxdata="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djR7sAAADb&#10;AAAADwAAAAAAAAABACAAAAAiAAAAZHJzL2Rvd25yZXYueG1sUEsBAhQAFAAAAAgAh07iQDMvBZ47&#10;AAAAOQAAABAAAAAAAAAAAQAgAAAACgEAAGRycy9zaGFwZXhtbC54bWxQSwUGAAAAAAYABgBbAQAA&#10;tAMAAAAA&#10;">
                    <v:fill on="f" focussize="0,0"/>
                    <v:stroke weight="2.25pt" color="#FF0000 [3204]" miterlimit="8" joinstyle="miter" endarrow="block"/>
                    <v:imagedata o:title=""/>
                    <o:lock v:ext="edit" aspectratio="f"/>
                  </v:shape>
                  <v:shape id="文本框 2" o:spid="_x0000_s1026" o:spt="202" type="#_x0000_t202" style="position:absolute;left:1361364;top:3173515;height:495032;width:1103843;" fillcolor="#FFFFFF [3212]" filled="t" stroked="f" coordsize="21600,21600" o:gfxdata="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su8r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pPr>
                            <w:spacing w:line="240" w:lineRule="auto"/>
                            <w:ind w:firstLine="0" w:firstLineChars="0"/>
                            <w:jc w:val="center"/>
                            <w:rPr>
                              <w:b/>
                              <w:bCs/>
                              <w:color w:val="FF0000"/>
                            </w:rPr>
                          </w:pPr>
                          <w:r>
                            <w:rPr>
                              <w:rFonts w:hint="eastAsia"/>
                              <w:b/>
                              <w:bCs/>
                              <w:color w:val="FF0000"/>
                            </w:rPr>
                            <w:t>污水处理厂</w:t>
                          </w:r>
                        </w:p>
                        <w:p>
                          <w:pPr>
                            <w:ind w:firstLine="0" w:firstLineChars="0"/>
                            <w:rPr>
                              <w:b/>
                              <w:bCs/>
                              <w:color w:val="FF0000"/>
                            </w:rPr>
                          </w:pPr>
                          <w:r>
                            <w:rPr>
                              <w:rFonts w:hint="eastAsia"/>
                              <w:b/>
                              <w:bCs/>
                              <w:color w:val="FF0000"/>
                            </w:rPr>
                            <w:t>南侧小溪沟</w:t>
                          </w:r>
                        </w:p>
                      </w:txbxContent>
                    </v:textbox>
                  </v:shape>
                  <v:shape id="_x0000_s1026" o:spid="_x0000_s1026" o:spt="32" type="#_x0000_t32" style="position:absolute;left:226884;top:2379447;height:655958;width:685973;" filled="f" stroked="t" coordsize="21600,21600" o:gfxdata="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DwXy/&#10;AAAA2wAAAA8AAAAAAAAAAQAgAAAAIgAAAGRycy9kb3ducmV2LnhtbFBLAQIUABQAAAAIAIdO4kAz&#10;LwWeOwAAADkAAAAQAAAAAAAAAAEAIAAAAA4BAABkcnMvc2hhcGV4bWwueG1sUEsFBgAAAAAGAAYA&#10;WwEAALgDAAAAAA==&#10;">
                    <v:fill on="f" focussize="0,0"/>
                    <v:stroke weight="2.25pt" color="#92D050 [3204]" miterlimit="8" joinstyle="miter" endarrow="block"/>
                    <v:imagedata o:title=""/>
                    <o:lock v:ext="edit" aspectratio="f"/>
                  </v:shape>
                  <v:shape id="文本框 2" o:spid="_x0000_s1026" o:spt="202" type="#_x0000_t202" style="position:absolute;left:-191228;top:2060705;height:318770;width:836295;" fillcolor="#FFFFFF [3212]"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pPr>
                            <w:ind w:firstLine="0" w:firstLineChars="0"/>
                            <w:rPr>
                              <w:b/>
                              <w:bCs/>
                              <w:color w:val="70AD47" w:themeColor="accent6"/>
                              <w14:textFill>
                                <w14:solidFill>
                                  <w14:schemeClr w14:val="accent6"/>
                                </w14:solidFill>
                              </w14:textFill>
                            </w:rPr>
                          </w:pPr>
                          <w:r>
                            <w:rPr>
                              <w:rFonts w:hint="eastAsia"/>
                              <w:b/>
                              <w:bCs/>
                              <w:color w:val="70AD47" w:themeColor="accent6"/>
                              <w14:textFill>
                                <w14:solidFill>
                                  <w14:schemeClr w14:val="accent6"/>
                                </w14:solidFill>
                              </w14:textFill>
                            </w:rPr>
                            <w:t>排污管道</w:t>
                          </w:r>
                        </w:p>
                      </w:txbxContent>
                    </v:textbox>
                  </v:shape>
                </v:group>
                <v:shape id="_x0000_s1026" o:spid="_x0000_s1026" o:spt="32" type="#_x0000_t32" style="position:absolute;left:1535987;top:4164748;height:163710;width:674020;" filled="f" stroked="t" coordsize="21600,21600" o:gfxdata="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uGaq8AAAA&#10;2wAAAA8AAAAAAAAAAQAgAAAAIgAAAGRycy9kb3ducmV2LnhtbFBLAQIUABQAAAAIAIdO4kAzLwWe&#10;OwAAADkAAAAQAAAAAAAAAAEAIAAAAAsBAABkcnMvc2hhcGV4bWwueG1sUEsFBgAAAAAGAAYAWwEA&#10;ALUDAAAAAA==&#10;">
                  <v:fill on="f" focussize="0,0"/>
                  <v:stroke weight="3pt" color="#FF00FF [3204]" miterlimit="8" joinstyle="miter" endarrow="block"/>
                  <v:imagedata o:title=""/>
                  <o:lock v:ext="edit" aspectratio="f"/>
                </v:shape>
                <v:shape id="文本框 2" o:spid="_x0000_s1026" o:spt="202" type="#_x0000_t202" style="position:absolute;left:995180;top:3660083;height:466746;width:820124;" fillcolor="#FFFFFF [3212]" filled="t" stroked="f" coordsize="21600,21600" o:gfxdata="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IHxu5AAAA2wAA&#10;AA8AAAAAAAAAAQAgAAAAIgAAAGRycy9kb3ducmV2LnhtbFBLAQIUABQAAAAIAIdO4kAzLwWeOwAA&#10;ADkAAAAQAAAAAAAAAAEAIAAAAAgBAABkcnMvc2hhcGV4bWwueG1sUEsFBgAAAAAGAAYAWwEAALID&#10;AAAAAA==&#10;">
                  <v:fill on="t" focussize="0,0"/>
                  <v:stroke on="f" miterlimit="8" joinstyle="miter"/>
                  <v:imagedata o:title=""/>
                  <o:lock v:ext="edit" aspectratio="f"/>
                  <v:textbox>
                    <w:txbxContent>
                      <w:p>
                        <w:pPr>
                          <w:spacing w:line="240" w:lineRule="auto"/>
                          <w:ind w:firstLine="0" w:firstLineChars="0"/>
                          <w:jc w:val="center"/>
                          <w:rPr>
                            <w:b/>
                            <w:bCs/>
                            <w:color w:val="FF00FF"/>
                          </w:rPr>
                        </w:pPr>
                        <w:r>
                          <w:rPr>
                            <w:rFonts w:hint="eastAsia"/>
                            <w:b/>
                            <w:bCs/>
                            <w:color w:val="FF00FF"/>
                          </w:rPr>
                          <w:t>泄洪沟</w:t>
                        </w:r>
                      </w:p>
                      <w:p>
                        <w:pPr>
                          <w:spacing w:line="240" w:lineRule="auto"/>
                          <w:ind w:firstLine="0" w:firstLineChars="0"/>
                          <w:jc w:val="center"/>
                          <w:rPr>
                            <w:b/>
                            <w:bCs/>
                            <w:color w:val="FF00FF"/>
                          </w:rPr>
                        </w:pPr>
                        <w:r>
                          <w:rPr>
                            <w:rFonts w:hint="eastAsia"/>
                            <w:b/>
                            <w:bCs/>
                            <w:color w:val="FF00FF"/>
                          </w:rPr>
                          <w:t>水流方向</w:t>
                        </w:r>
                      </w:p>
                    </w:txbxContent>
                  </v:textbox>
                </v:shape>
              </v:group>
            </w:pict>
          </mc:Fallback>
        </mc:AlternateContent>
      </w:r>
      <w:r>
        <w:rPr>
          <w:snapToGrid/>
          <w:color w:val="000000" w:themeColor="text1"/>
          <w14:textFill>
            <w14:solidFill>
              <w14:schemeClr w14:val="tx1"/>
            </w14:solidFill>
          </w14:textFill>
        </w:rPr>
        <w:drawing>
          <wp:inline distT="0" distB="0" distL="0" distR="0">
            <wp:extent cx="2837815" cy="2872105"/>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2875279" cy="2909739"/>
                    </a:xfrm>
                    <a:prstGeom prst="rect">
                      <a:avLst/>
                    </a:prstGeom>
                  </pic:spPr>
                </pic:pic>
              </a:graphicData>
            </a:graphic>
          </wp:inline>
        </w:drawing>
      </w:r>
    </w:p>
    <w:p>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5.4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入河排污口方位</w:t>
      </w:r>
    </w:p>
    <w:p>
      <w:pPr>
        <w:pStyle w:val="42"/>
        <w:ind w:left="0" w:firstLine="0"/>
        <w:rPr>
          <w:color w:val="000000" w:themeColor="text1"/>
          <w14:textFill>
            <w14:solidFill>
              <w14:schemeClr w14:val="tx1"/>
            </w14:solidFill>
          </w14:textFill>
        </w:rPr>
      </w:pPr>
      <w:bookmarkStart w:id="115" w:name="_Toc24583"/>
      <w:bookmarkStart w:id="116" w:name="_Toc4031"/>
      <w:bookmarkStart w:id="117" w:name="_Toc184805920"/>
      <w:bookmarkStart w:id="118" w:name="_Toc5341"/>
      <w:bookmarkStart w:id="119" w:name="_Toc16855"/>
      <w:bookmarkStart w:id="120" w:name="_Toc3684"/>
      <w:bookmarkStart w:id="121" w:name="_Toc339613697"/>
      <w:bookmarkStart w:id="122" w:name="_Toc289930711"/>
      <w:bookmarkStart w:id="123" w:name="_Toc301373858"/>
      <w:bookmarkStart w:id="124" w:name="_Toc289926463"/>
      <w:r>
        <w:rPr>
          <w:color w:val="000000" w:themeColor="text1"/>
          <w14:textFill>
            <w14:solidFill>
              <w14:schemeClr w14:val="tx1"/>
            </w14:solidFill>
          </w14:textFill>
        </w:rPr>
        <w:t>入河排污口设置对水功能区</w:t>
      </w:r>
      <w:r>
        <w:rPr>
          <w:rFonts w:hint="eastAsia"/>
          <w:color w:val="000000" w:themeColor="text1"/>
          <w14:textFill>
            <w14:solidFill>
              <w14:schemeClr w14:val="tx1"/>
            </w14:solidFill>
          </w14:textFill>
        </w:rPr>
        <w:t>（水域）</w:t>
      </w:r>
      <w:r>
        <w:rPr>
          <w:color w:val="000000" w:themeColor="text1"/>
          <w14:textFill>
            <w14:solidFill>
              <w14:schemeClr w14:val="tx1"/>
            </w14:solidFill>
          </w14:textFill>
        </w:rPr>
        <w:t>水质和水生态影响分析</w:t>
      </w:r>
      <w:bookmarkEnd w:id="115"/>
      <w:bookmarkEnd w:id="116"/>
      <w:bookmarkEnd w:id="117"/>
      <w:bookmarkEnd w:id="118"/>
      <w:bookmarkEnd w:id="119"/>
      <w:bookmarkEnd w:id="120"/>
    </w:p>
    <w:bookmarkEnd w:id="121"/>
    <w:bookmarkEnd w:id="122"/>
    <w:bookmarkEnd w:id="123"/>
    <w:bookmarkEnd w:id="124"/>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5" w:name="_Toc184805921"/>
      <w:r>
        <w:rPr>
          <w:rFonts w:hint="eastAsia"/>
          <w:color w:val="000000" w:themeColor="text1"/>
          <w14:textFill>
            <w14:solidFill>
              <w14:schemeClr w14:val="tx1"/>
            </w14:solidFill>
          </w14:textFill>
        </w:rPr>
        <w:t>影响范围</w:t>
      </w:r>
      <w:bookmarkEnd w:id="125"/>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根据水功能区水质管理目标和水生态保护要求，结合本项目污水排放特点，选取COD、NH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-N作为污染评价预测因子。</w:t>
      </w:r>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工程排污口</w:t>
      </w:r>
      <w:r>
        <w:rPr>
          <w:color w:val="000000" w:themeColor="text1"/>
          <w14:textFill>
            <w14:solidFill>
              <w14:schemeClr w14:val="tx1"/>
            </w14:solidFill>
          </w14:textFill>
        </w:rPr>
        <w:t>直接受纳水体</w:t>
      </w:r>
      <w:r>
        <w:rPr>
          <w:rFonts w:hint="eastAsia"/>
          <w:color w:val="000000" w:themeColor="text1"/>
          <w14:textFill>
            <w14:solidFill>
              <w14:schemeClr w14:val="tx1"/>
            </w14:solidFill>
          </w14:textFill>
        </w:rPr>
        <w:t>小溪沟</w:t>
      </w:r>
      <w:r>
        <w:rPr>
          <w:color w:val="000000" w:themeColor="text1"/>
          <w14:textFill>
            <w14:solidFill>
              <w14:schemeClr w14:val="tx1"/>
            </w14:solidFill>
          </w14:textFill>
        </w:rPr>
        <w:t>无水域功能，下游</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属于《地表水环境质量标准》（GB 3838-2002）Ⅲ类水域。根据项目主要污染物迁移转化状况和地表水对照断面、控制断面与消减断面等关心断面的要求，结合污水处理厂出水影响将主要集中在排放口下游，确定地表水评价范围为污水处理厂排放口至下游36km</w:t>
      </w:r>
      <w:r>
        <w:rPr>
          <w:rFonts w:hint="eastAsia"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从对环境最不利的角度考虑，选择分析</w:t>
      </w:r>
      <w:r>
        <w:rPr>
          <w:rFonts w:cs="Times New Roman"/>
          <w:color w:val="000000" w:themeColor="text1"/>
          <w14:textFill>
            <w14:solidFill>
              <w14:schemeClr w14:val="tx1"/>
            </w14:solidFill>
          </w14:textFill>
        </w:rPr>
        <w:t>枯水期条件下相关污染因子COD、NH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-N的影响范围和影响程度，为分析污水排放对水功能区</w:t>
      </w:r>
      <w:r>
        <w:rPr>
          <w:rFonts w:hint="eastAsia" w:cs="Times New Roman"/>
          <w:color w:val="000000" w:themeColor="text1"/>
          <w14:textFill>
            <w14:solidFill>
              <w14:schemeClr w14:val="tx1"/>
            </w14:solidFill>
          </w14:textFill>
        </w:rPr>
        <w:t>（水域）</w:t>
      </w:r>
      <w:r>
        <w:rPr>
          <w:rFonts w:cs="Times New Roman"/>
          <w:color w:val="000000" w:themeColor="text1"/>
          <w14:textFill>
            <w14:solidFill>
              <w14:schemeClr w14:val="tx1"/>
            </w14:solidFill>
          </w14:textFill>
        </w:rPr>
        <w:t>水质、水生态以及第三者权益的影响提供依据。</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河流水文情况及预测参数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根据水文</w:t>
      </w:r>
      <w:r>
        <w:rPr>
          <w:rFonts w:hint="eastAsia" w:cs="Times New Roman"/>
          <w:color w:val="000000" w:themeColor="text1"/>
          <w14:textFill>
            <w14:solidFill>
              <w14:schemeClr w14:val="tx1"/>
            </w14:solidFill>
          </w14:textFill>
        </w:rPr>
        <w:t>信息及</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等技术资料</w:t>
      </w:r>
      <w:r>
        <w:rPr>
          <w:rFonts w:cs="Times New Roman"/>
          <w:color w:val="000000" w:themeColor="text1"/>
          <w14:textFill>
            <w14:solidFill>
              <w14:schemeClr w14:val="tx1"/>
            </w14:solidFill>
          </w14:textFill>
        </w:rPr>
        <w:t>，项目受纳水体</w:t>
      </w:r>
      <w:r>
        <w:rPr>
          <w:rFonts w:hint="eastAsia" w:cs="Times New Roman"/>
          <w:color w:val="000000" w:themeColor="text1"/>
          <w14:textFill>
            <w14:solidFill>
              <w14:schemeClr w14:val="tx1"/>
            </w14:solidFill>
          </w14:textFill>
        </w:rPr>
        <w:t>诸佛江</w:t>
      </w:r>
      <w:r>
        <w:rPr>
          <w:rFonts w:cs="Times New Roman"/>
          <w:color w:val="000000" w:themeColor="text1"/>
          <w14:textFill>
            <w14:solidFill>
              <w14:schemeClr w14:val="tx1"/>
            </w14:solidFill>
          </w14:textFill>
        </w:rPr>
        <w:t>枯水期</w:t>
      </w:r>
      <w:r>
        <w:rPr>
          <w:rFonts w:hint="eastAsia" w:cs="Times New Roman"/>
          <w:color w:val="000000" w:themeColor="text1"/>
          <w14:textFill>
            <w14:solidFill>
              <w14:schemeClr w14:val="tx1"/>
            </w14:solidFill>
          </w14:textFill>
        </w:rPr>
        <w:t>预测水文参数</w:t>
      </w:r>
      <w:r>
        <w:rPr>
          <w:rFonts w:cs="Times New Roman"/>
          <w:color w:val="000000" w:themeColor="text1"/>
          <w14:textFill>
            <w14:solidFill>
              <w14:schemeClr w14:val="tx1"/>
            </w14:solidFill>
          </w14:textFill>
        </w:rPr>
        <w:t>详见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水文参数</w:t>
      </w:r>
      <w:r>
        <w:rPr>
          <w:rFonts w:hint="eastAsia" w:cs="Times New Roman"/>
          <w:b/>
          <w:color w:val="000000" w:themeColor="text1"/>
          <w:sz w:val="21"/>
          <w:szCs w:val="21"/>
          <w14:textFill>
            <w14:solidFill>
              <w14:schemeClr w14:val="tx1"/>
            </w14:solidFill>
          </w14:textFill>
        </w:rPr>
        <w:t>统计</w:t>
      </w:r>
      <w:r>
        <w:rPr>
          <w:rFonts w:cs="Times New Roman"/>
          <w:b/>
          <w:color w:val="000000" w:themeColor="text1"/>
          <w:sz w:val="21"/>
          <w:szCs w:val="21"/>
          <w14:textFill>
            <w14:solidFill>
              <w14:schemeClr w14:val="tx1"/>
            </w14:solidFill>
          </w14:textFill>
        </w:rPr>
        <w:t>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035"/>
        <w:gridCol w:w="2589"/>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河流</w:t>
            </w:r>
          </w:p>
        </w:tc>
        <w:tc>
          <w:tcPr>
            <w:tcW w:w="1275" w:type="dxa"/>
            <w:vAlign w:val="center"/>
          </w:tcPr>
          <w:p>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水期</w:t>
            </w:r>
          </w:p>
        </w:tc>
        <w:tc>
          <w:tcPr>
            <w:tcW w:w="1622" w:type="dxa"/>
            <w:vAlign w:val="center"/>
          </w:tcPr>
          <w:p>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流量（m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/s）</w:t>
            </w:r>
          </w:p>
        </w:tc>
        <w:tc>
          <w:tcPr>
            <w:tcW w:w="1455" w:type="dxa"/>
            <w:vAlign w:val="center"/>
          </w:tcPr>
          <w:p>
            <w:pPr>
              <w:pStyle w:val="118"/>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诸佛江</w:t>
            </w:r>
          </w:p>
        </w:tc>
        <w:tc>
          <w:tcPr>
            <w:tcW w:w="1275" w:type="dxa"/>
            <w:vAlign w:val="center"/>
          </w:tcPr>
          <w:p>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枯水期</w:t>
            </w:r>
          </w:p>
        </w:tc>
        <w:tc>
          <w:tcPr>
            <w:tcW w:w="1622" w:type="dxa"/>
            <w:vAlign w:val="center"/>
          </w:tcPr>
          <w:p>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8.1</w:t>
            </w:r>
          </w:p>
        </w:tc>
        <w:tc>
          <w:tcPr>
            <w:tcW w:w="1455" w:type="dxa"/>
            <w:vAlign w:val="center"/>
          </w:tcPr>
          <w:p>
            <w:pPr>
              <w:pStyle w:val="118"/>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0.81</w:t>
            </w:r>
          </w:p>
        </w:tc>
      </w:tr>
    </w:tbl>
    <w:p>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综合衰减系数反映了有机污染物在水体作用下降解速度，与河流的水文条件，如流量、流速、河宽、水深、泥沙含量等因素有关。综合自净系数可用实测资料或水团追踪法求取，也可经类比分析确定。根据《重庆市水资源综合规划水资源保护规划》和</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，本次论证河段污染物综合衰减系数确定COD取</w:t>
      </w:r>
      <w:r>
        <w:rPr>
          <w:rFonts w:cs="Times New Roman"/>
          <w:color w:val="000000" w:themeColor="text1"/>
          <w14:textFill>
            <w14:solidFill>
              <w14:schemeClr w14:val="tx1"/>
            </w14:solidFill>
          </w14:textFill>
        </w:rPr>
        <w:t>0.15</w:t>
      </w:r>
      <w:r>
        <w:rPr>
          <w:rFonts w:hint="eastAsia" w:cs="Times New Roman"/>
          <w:color w:val="000000" w:themeColor="text1"/>
          <w14:textFill>
            <w14:solidFill>
              <w14:schemeClr w14:val="tx1"/>
            </w14:solidFill>
          </w14:textFill>
        </w:rPr>
        <w:t>（1/d），NH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-N取</w:t>
      </w:r>
      <w:r>
        <w:rPr>
          <w:rFonts w:cs="Times New Roman"/>
          <w:color w:val="000000" w:themeColor="text1"/>
          <w14:textFill>
            <w14:solidFill>
              <w14:schemeClr w14:val="tx1"/>
            </w14:solidFill>
          </w14:textFill>
        </w:rPr>
        <w:t>0.20</w:t>
      </w:r>
      <w:r>
        <w:rPr>
          <w:rFonts w:hint="eastAsia" w:cs="Times New Roman"/>
          <w:color w:val="000000" w:themeColor="text1"/>
          <w14:textFill>
            <w14:solidFill>
              <w14:schemeClr w14:val="tx1"/>
            </w14:solidFill>
          </w14:textFill>
        </w:rPr>
        <w:t>（1/d）。</w:t>
      </w:r>
    </w:p>
    <w:p>
      <w:pPr>
        <w:spacing w:before="156" w:beforeLines="50" w:line="240" w:lineRule="auto"/>
        <w:ind w:firstLine="0" w:firstLineChars="0"/>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 xml:space="preserve"> 评价河段降解系数一览表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评价因子</w:t>
            </w:r>
          </w:p>
        </w:tc>
        <w:tc>
          <w:tcPr>
            <w:tcW w:w="2150" w:type="dxa"/>
            <w:vAlign w:val="center"/>
          </w:tcPr>
          <w:p>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pPr>
              <w:pStyle w:val="118"/>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NH</w:t>
            </w:r>
            <w:r>
              <w:rPr>
                <w:rFonts w:hint="eastAsia" w:ascii="Times New Roman" w:hAnsi="Times New Roman" w:cs="Times New Roman"/>
                <w:b/>
                <w:color w:val="000000" w:themeColor="text1"/>
                <w:sz w:val="21"/>
                <w:szCs w:val="21"/>
                <w:vertAlign w:val="subscript"/>
                <w14:textFill>
                  <w14:solidFill>
                    <w14:schemeClr w14:val="tx1"/>
                  </w14:solidFill>
                </w14:textFill>
              </w:rPr>
              <w:t>3</w:t>
            </w:r>
            <w:r>
              <w:rPr>
                <w:rFonts w:hint="eastAsia" w:ascii="Times New Roman" w:hAnsi="Times New Roman" w:cs="Times New Roman"/>
                <w:b/>
                <w:color w:val="000000" w:themeColor="text1"/>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5" w:type="dxa"/>
            <w:vAlign w:val="center"/>
          </w:tcPr>
          <w:p>
            <w:pPr>
              <w:pStyle w:val="118"/>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降解系数（1/d）</w:t>
            </w:r>
          </w:p>
        </w:tc>
        <w:tc>
          <w:tcPr>
            <w:tcW w:w="2150" w:type="dxa"/>
            <w:vAlign w:val="center"/>
          </w:tcPr>
          <w:p>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0.15</w:t>
            </w:r>
          </w:p>
        </w:tc>
        <w:tc>
          <w:tcPr>
            <w:tcW w:w="2289" w:type="dxa"/>
            <w:vAlign w:val="center"/>
          </w:tcPr>
          <w:p>
            <w:pPr>
              <w:pStyle w:val="118"/>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0.20</w:t>
            </w:r>
          </w:p>
        </w:tc>
      </w:tr>
    </w:tbl>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预测模型</w:t>
      </w:r>
    </w:p>
    <w:p>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多年枯水期平均流量为8.1m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/s。项目废水排放量为250m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尾水排放方式为岸边连续稳定排放，评价根据《环境影响评价技术导则 地表水环境》（HJ 2.3-2018），本评价水质预测采用纵向一维数学模型进行预测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根据河流纵向一维水质模型议程的简化、分类判别条件（即：O’Connor数α和贝克来数Pe），选择相应的解析解公式</w:t>
      </w:r>
      <w:r>
        <w:rPr>
          <w:rFonts w:hint="eastAsia"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α=</m:t>
          </m:r>
          <m:f>
            <m:fPr>
              <m:ctrlPr>
                <w:rPr>
                  <w:rFonts w:ascii="Cambria Math" w:hAnsi="Cambria Math" w:cs="Times New Roman"/>
                  <w:color w:val="000000" w:themeColor="text1"/>
                  <w14:textFill>
                    <w14:solidFill>
                      <w14:schemeClr w14:val="tx1"/>
                    </w14:solidFill>
                  </w14:textFill>
                </w:rPr>
              </m:ctrlPr>
            </m:fPr>
            <m:num>
              <m:r>
                <w:rPr>
                  <w:rFonts w:ascii="Cambria Math" w:hAnsi="Cambria Math" w:cs="Times New Roman"/>
                  <w:color w:val="000000" w:themeColor="text1"/>
                  <w14:textFill>
                    <w14:solidFill>
                      <w14:schemeClr w14:val="tx1"/>
                    </w14:solidFill>
                  </w14:textFill>
                </w:rPr>
                <m:t>k</m:t>
              </m:r>
              <m:sSub>
                <m:sSubPr>
                  <m:ctrlPr>
                    <w:rPr>
                      <w:rFonts w:ascii="Cambria Math" w:hAnsi="Cambria Math" w:cs="Times New Roman"/>
                      <w:i/>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p>
                <m:sSupPr>
                  <m:ctrlPr>
                    <w:rPr>
                      <w:rFonts w:ascii="Cambria Math" w:hAnsi="Cambria Math" w:cs="Times New Roman"/>
                      <w:i/>
                      <w:color w:val="000000" w:themeColor="text1"/>
                      <w14:textFill>
                        <w14:solidFill>
                          <w14:schemeClr w14:val="tx1"/>
                        </w14:solidFill>
                      </w14:textFill>
                    </w:rPr>
                  </m:ctrlPr>
                </m:sSupPr>
                <m:e>
                  <m:r>
                    <w:rPr>
                      <w:rFonts w:ascii="Cambria Math" w:hAnsi="Cambria Math" w:cs="Times New Roman"/>
                      <w:color w:val="000000" w:themeColor="text1"/>
                      <w14:textFill>
                        <w14:solidFill>
                          <w14:schemeClr w14:val="tx1"/>
                        </w14:solidFill>
                      </w14:textFill>
                    </w:rPr>
                    <m:t>u</m:t>
                  </m:r>
                  <m:ctrlPr>
                    <w:rPr>
                      <w:rFonts w:ascii="Cambria Math" w:hAnsi="Cambria Math" w:cs="Times New Roman"/>
                      <w:i/>
                      <w:color w:val="000000" w:themeColor="text1"/>
                      <w14:textFill>
                        <w14:solidFill>
                          <w14:schemeClr w14:val="tx1"/>
                        </w14:solidFill>
                      </w14:textFill>
                    </w:rPr>
                  </m:ctrlPr>
                </m:e>
                <m:sup>
                  <m: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den>
          </m:f>
        </m:oMath>
      </m:oMathPara>
    </w:p>
    <w:p>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Pe=</m:t>
          </m:r>
          <m:f>
            <m:fPr>
              <m:ctrlPr>
                <w:rPr>
                  <w:rFonts w:ascii="Cambria Math" w:hAnsi="Cambria Math" w:cs="Times New Roman"/>
                  <w:color w:val="000000" w:themeColor="text1"/>
                  <w14:textFill>
                    <w14:solidFill>
                      <w14:schemeClr w14:val="tx1"/>
                    </w14:solidFill>
                  </w14:textFill>
                </w:rPr>
              </m:ctrlPr>
            </m:fPr>
            <m:num>
              <m:r>
                <w:rPr>
                  <w:rFonts w:ascii="Cambria Math" w:hAnsi="Cambria Math" w:cs="Times New Roman"/>
                  <w:color w:val="000000" w:themeColor="text1"/>
                  <w14:textFill>
                    <w14:solidFill>
                      <w14:schemeClr w14:val="tx1"/>
                    </w14:solidFill>
                  </w14:textFill>
                </w:rPr>
                <m:t>uB</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t>α</w:t>
      </w:r>
      <w:r>
        <w:rPr>
          <w:color w:val="000000" w:themeColor="text1"/>
          <w14:textFill>
            <w14:solidFill>
              <w14:schemeClr w14:val="tx1"/>
            </w14:solidFill>
          </w14:textFill>
        </w:rPr>
        <w:t>——O’Connor数，量纲为1，表征物质离散降解通量与移流通量比值；</w:t>
      </w:r>
    </w:p>
    <w:p>
      <w:pPr>
        <w:ind w:firstLine="1132" w:firstLineChars="472"/>
        <w:rPr>
          <w:color w:val="000000" w:themeColor="text1"/>
          <w14:textFill>
            <w14:solidFill>
              <w14:schemeClr w14:val="tx1"/>
            </w14:solidFill>
          </w14:textFill>
        </w:rPr>
      </w:pPr>
      <w:r>
        <w:rPr>
          <w:rFonts w:cs="Times New Roman"/>
          <w:color w:val="000000" w:themeColor="text1"/>
          <w14:textFill>
            <w14:solidFill>
              <w14:schemeClr w14:val="tx1"/>
            </w14:solidFill>
          </w14:textFill>
        </w:rPr>
        <w:t>Pe</w:t>
      </w:r>
      <w:r>
        <w:rPr>
          <w:color w:val="000000" w:themeColor="text1"/>
          <w14:textFill>
            <w14:solidFill>
              <w14:schemeClr w14:val="tx1"/>
            </w14:solidFill>
          </w14:textFill>
        </w:rPr>
        <w:t>——贝克来数，量纲为1，表征物质移流通量与离散通量比值；</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k——污染物综合衰减系数，1/s；</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u—断面流速，m/s</w:t>
      </w:r>
      <w:r>
        <w:rPr>
          <w:rFonts w:hint="eastAsia"/>
          <w:color w:val="000000" w:themeColor="text1"/>
          <w14:textFill>
            <w14:solidFill>
              <w14:schemeClr w14:val="tx1"/>
            </w14:solidFill>
          </w14:textFill>
        </w:rPr>
        <w:t>；</w:t>
      </w:r>
    </w:p>
    <w:p>
      <w:pPr>
        <w:ind w:left="1133" w:leftChars="472" w:firstLine="0" w:firstLineChars="0"/>
        <w:rPr>
          <w:snapToGrid/>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oMath>
      <w:r>
        <w:rPr>
          <w:color w:val="000000" w:themeColor="text1"/>
          <w14:textFill>
            <w14:solidFill>
              <w14:schemeClr w14:val="tx1"/>
            </w14:solidFill>
          </w14:textFill>
        </w:rPr>
        <w:t>——污染物纵向扩散系数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r>
        <w:rPr>
          <w:snapToGrid/>
          <w:color w:val="000000" w:themeColor="text1"/>
          <w14:textFill>
            <w14:solidFill>
              <w14:schemeClr w14:val="tx1"/>
            </w14:solidFill>
          </w14:textFill>
        </w:rPr>
        <w:t>；</w:t>
      </w:r>
    </w:p>
    <w:p>
      <w:pPr>
        <w:ind w:left="1133" w:leftChars="472" w:firstLine="0" w:firstLineChars="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B——水面宽度，m。</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经计算项目αCOD=0.006，αNH3-N =0.003，贝克来数Pe=107.47。</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地表水环境》（HJ 2.3-2018），当α≤0.027、Pe≥1，适用对流降解模型</w:t>
      </w:r>
      <w:r>
        <w:rPr>
          <w:rFonts w:hint="eastAsia"/>
          <w:color w:val="000000" w:themeColor="text1"/>
          <w14:textFill>
            <w14:solidFill>
              <w14:schemeClr w14:val="tx1"/>
            </w14:solidFill>
          </w14:textFill>
        </w:rPr>
        <w:t>：</w:t>
      </w:r>
    </w:p>
    <w:p>
      <w:pPr>
        <w:ind w:firstLine="480"/>
        <w:jc w:val="center"/>
        <w:rPr>
          <w:color w:val="000000" w:themeColor="text1"/>
          <w14:textFill>
            <w14:solidFill>
              <w14:schemeClr w14:val="tx1"/>
            </w14:solidFill>
          </w14:textFill>
        </w:rPr>
      </w:pPr>
      <m:oMath>
        <m:r>
          <w:rPr>
            <w:rFonts w:ascii="Cambria Math" w:hAnsi="Cambria Math"/>
            <w:color w:val="000000" w:themeColor="text1"/>
            <w14:textFill>
              <w14:solidFill>
                <w14:schemeClr w14:val="tx1"/>
              </w14:solidFill>
            </w14:textFill>
          </w:rPr>
          <m:t>C</m:t>
        </m:r>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func>
          <m:funcPr>
            <m:ctrlPr>
              <w:rPr>
                <w:rFonts w:ascii="Cambria Math" w:hAnsi="Cambria Math"/>
                <w:color w:val="000000" w:themeColor="text1"/>
                <w14:textFill>
                  <w14:solidFill>
                    <w14:schemeClr w14:val="tx1"/>
                  </w14:solidFill>
                </w14:textFill>
              </w:rPr>
            </m:ctrlPr>
          </m:funcPr>
          <m:fName>
            <m:r>
              <w:rPr>
                <w:rFonts w:ascii="Cambria Math" w:hAnsi="Cambria Math"/>
                <w:color w:val="000000" w:themeColor="text1"/>
                <w14:textFill>
                  <w14:solidFill>
                    <w14:schemeClr w14:val="tx1"/>
                  </w14:solidFill>
                </w14:textFill>
              </w:rPr>
              <m:t>exp</m:t>
            </m:r>
            <m:ctrlPr>
              <w:rPr>
                <w:rFonts w:ascii="Cambria Math" w:hAnsi="Cambria Math"/>
                <w:color w:val="000000" w:themeColor="text1"/>
                <w14:textFill>
                  <w14:solidFill>
                    <w14:schemeClr w14:val="tx1"/>
                  </w14:solidFill>
                </w14:textFill>
              </w:rPr>
            </m:ctrlPr>
          </m:fName>
          <m:e>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w:rPr>
                <w:rFonts w:ascii="Cambria Math" w:hAnsi="Cambria Math"/>
                <w:color w:val="000000" w:themeColor="text1"/>
                <w14:textFill>
                  <w14:solidFill>
                    <w14:schemeClr w14:val="tx1"/>
                  </w14:solidFill>
                </w14:textFill>
              </w:rPr>
              <m:t>kx</m:t>
            </m:r>
            <m:ctrlPr>
              <w:rPr>
                <w:rFonts w:ascii="Cambria Math" w:hAnsi="Cambria Math"/>
                <w:color w:val="000000" w:themeColor="text1"/>
                <w14:textFill>
                  <w14:solidFill>
                    <w14:schemeClr w14:val="tx1"/>
                  </w14:solidFill>
                </w14:textFill>
              </w:rPr>
            </m:ctrlPr>
          </m:num>
          <m:den>
            <m: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 xml:space="preserve">)     </m:t>
        </m:r>
        <m:r>
          <w:rPr>
            <w:rFonts w:ascii="Cambria Math" w:hAnsi="Cambria Math"/>
            <w:color w:val="000000" w:themeColor="text1"/>
            <w14:textFill>
              <w14:solidFill>
                <w14:schemeClr w14:val="tx1"/>
              </w14:solidFill>
            </w14:textFill>
          </w:rPr>
          <m:t>x</m:t>
        </m:r>
        <m:r>
          <m:rPr>
            <m:sty m:val="p"/>
          </m:rPr>
          <w:rPr>
            <w:rFonts w:ascii="Cambria Math" w:hAnsi="Cambria Math"/>
            <w:color w:val="000000" w:themeColor="text1"/>
            <w14:textFill>
              <w14:solidFill>
                <w14:schemeClr w14:val="tx1"/>
              </w14:solidFill>
            </w14:textFill>
          </w:rPr>
          <m:t>≥0</m:t>
        </m:r>
      </m:oMath>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m:oMathPara>
        <m:oMathParaPr>
          <m:jc m:val="center"/>
        </m:oMathParaPr>
        <m:oMath>
          <m:sSub>
            <m:sSubPr>
              <m:ctrlPr>
                <w:rPr>
                  <w:rFonts w:ascii="Cambria Math" w:hAnsi="Cambria Math"/>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oMath>
      </m:oMathPara>
    </w:p>
    <w:p>
      <w:pPr>
        <w:ind w:firstLine="480"/>
        <w:rPr>
          <w:color w:val="000000" w:themeColor="text1"/>
          <w14:textFill>
            <w14:solidFill>
              <w14:schemeClr w14:val="tx1"/>
            </w14:solidFill>
          </w14:textFill>
        </w:rPr>
      </w:pPr>
      <w:r>
        <w:rPr>
          <w:color w:val="000000" w:themeColor="text1"/>
          <w14:textFill>
            <w14:solidFill>
              <w14:schemeClr w14:val="tx1"/>
            </w14:solidFill>
          </w14:textFill>
        </w:rPr>
        <w:t>式中：C——预测断面的污染物浓度，mg/L；</w:t>
      </w:r>
    </w:p>
    <w:p>
      <w:pPr>
        <w:ind w:firstLine="1132" w:firstLineChars="472"/>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——初始断面的污染物混合浓度，mg/L；</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 xml:space="preserve">k——污染物综合衰减系数，1/s； </w:t>
      </w:r>
    </w:p>
    <w:p>
      <w:pPr>
        <w:ind w:left="1133" w:leftChars="472" w:firstLine="0" w:firstLineChars="0"/>
        <w:rPr>
          <w:snapToGrid/>
          <w:color w:val="000000" w:themeColor="text1"/>
          <w14:textFill>
            <w14:solidFill>
              <w14:schemeClr w14:val="tx1"/>
            </w14:solidFill>
          </w14:textFill>
        </w:rPr>
      </w:pPr>
      <w:r>
        <w:rPr>
          <w:color w:val="000000" w:themeColor="text1"/>
          <w14:textFill>
            <w14:solidFill>
              <w14:schemeClr w14:val="tx1"/>
            </w14:solidFill>
          </w14:textFill>
        </w:rPr>
        <w:t>x——河流</w:t>
      </w:r>
      <w:r>
        <w:rPr>
          <w:snapToGrid/>
          <w:color w:val="000000" w:themeColor="text1"/>
          <w14:textFill>
            <w14:solidFill>
              <w14:schemeClr w14:val="tx1"/>
            </w14:solidFill>
          </w14:textFill>
        </w:rPr>
        <w:t>沿程坐标，m；x=0指排放口处，x&gt;0指排放口下游段，x&lt;0指排放口上游段；</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u——断面平均流速，m/s；</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——分别为污水的污染物浓度（mg/L）和流量（m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——分别为上游河段污染物浓度（mg/L）和流量（m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污染源强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本项目论证的污染物源强见表6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污染物源强</w:t>
      </w:r>
    </w:p>
    <w:tbl>
      <w:tblPr>
        <w:tblStyle w:val="2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68"/>
        <w:gridCol w:w="1510"/>
        <w:gridCol w:w="2424"/>
        <w:gridCol w:w="23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Merge w:val="restart"/>
            <w:vAlign w:val="center"/>
          </w:tcPr>
          <w:p>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项目</w:t>
            </w:r>
          </w:p>
        </w:tc>
        <w:tc>
          <w:tcPr>
            <w:tcW w:w="886" w:type="pct"/>
            <w:vMerge w:val="restart"/>
            <w:vAlign w:val="center"/>
          </w:tcPr>
          <w:p>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排放量（m</w:t>
            </w:r>
            <w:r>
              <w:rPr>
                <w:b/>
                <w:color w:val="000000" w:themeColor="text1"/>
                <w:sz w:val="22"/>
                <w:vertAlign w:val="superscript"/>
                <w14:textFill>
                  <w14:solidFill>
                    <w14:schemeClr w14:val="tx1"/>
                  </w14:solidFill>
                </w14:textFill>
              </w:rPr>
              <w:t>3</w:t>
            </w:r>
            <w:r>
              <w:rPr>
                <w:b/>
                <w:color w:val="000000" w:themeColor="text1"/>
                <w:sz w:val="22"/>
                <w14:textFill>
                  <w14:solidFill>
                    <w14:schemeClr w14:val="tx1"/>
                  </w14:solidFill>
                </w14:textFill>
              </w:rPr>
              <w:t>/d）</w:t>
            </w:r>
          </w:p>
        </w:tc>
        <w:tc>
          <w:tcPr>
            <w:tcW w:w="2783" w:type="pct"/>
            <w:gridSpan w:val="2"/>
            <w:vAlign w:val="center"/>
          </w:tcPr>
          <w:p>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污染物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Merge w:val="continue"/>
            <w:vAlign w:val="center"/>
          </w:tcPr>
          <w:p>
            <w:pPr>
              <w:pStyle w:val="101"/>
              <w:adjustRightInd w:val="0"/>
              <w:snapToGrid w:val="0"/>
              <w:spacing w:line="240" w:lineRule="auto"/>
              <w:rPr>
                <w:b/>
                <w:color w:val="000000" w:themeColor="text1"/>
                <w:sz w:val="22"/>
                <w14:textFill>
                  <w14:solidFill>
                    <w14:schemeClr w14:val="tx1"/>
                  </w14:solidFill>
                </w14:textFill>
              </w:rPr>
            </w:pPr>
          </w:p>
        </w:tc>
        <w:tc>
          <w:tcPr>
            <w:tcW w:w="886" w:type="pct"/>
            <w:vMerge w:val="continue"/>
            <w:vAlign w:val="center"/>
          </w:tcPr>
          <w:p>
            <w:pPr>
              <w:pStyle w:val="101"/>
              <w:adjustRightInd w:val="0"/>
              <w:snapToGrid w:val="0"/>
              <w:spacing w:line="240" w:lineRule="auto"/>
              <w:rPr>
                <w:b/>
                <w:color w:val="000000" w:themeColor="text1"/>
                <w:sz w:val="22"/>
                <w14:textFill>
                  <w14:solidFill>
                    <w14:schemeClr w14:val="tx1"/>
                  </w14:solidFill>
                </w14:textFill>
              </w:rPr>
            </w:pPr>
          </w:p>
        </w:tc>
        <w:tc>
          <w:tcPr>
            <w:tcW w:w="1422" w:type="pct"/>
            <w:vAlign w:val="center"/>
          </w:tcPr>
          <w:p>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COD（mg/L）</w:t>
            </w:r>
          </w:p>
        </w:tc>
        <w:tc>
          <w:tcPr>
            <w:tcW w:w="1360" w:type="pct"/>
            <w:vAlign w:val="center"/>
          </w:tcPr>
          <w:p>
            <w:pPr>
              <w:pStyle w:val="101"/>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NH</w:t>
            </w:r>
            <w:r>
              <w:rPr>
                <w:b/>
                <w:color w:val="000000" w:themeColor="text1"/>
                <w:sz w:val="22"/>
                <w:vertAlign w:val="subscript"/>
                <w14:textFill>
                  <w14:solidFill>
                    <w14:schemeClr w14:val="tx1"/>
                  </w14:solidFill>
                </w14:textFill>
              </w:rPr>
              <w:t>3</w:t>
            </w:r>
            <w:r>
              <w:rPr>
                <w:b/>
                <w:color w:val="000000" w:themeColor="text1"/>
                <w:sz w:val="22"/>
                <w14:textFill>
                  <w14:solidFill>
                    <w14:schemeClr w14:val="tx1"/>
                  </w14:solidFill>
                </w14:textFill>
              </w:rPr>
              <w:t>-N（mg/L）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Align w:val="center"/>
          </w:tcPr>
          <w:p>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正常排放情况</w:t>
            </w:r>
          </w:p>
        </w:tc>
        <w:tc>
          <w:tcPr>
            <w:tcW w:w="886" w:type="pct"/>
            <w:vMerge w:val="restart"/>
            <w:vAlign w:val="center"/>
          </w:tcPr>
          <w:p>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250</w:t>
            </w:r>
          </w:p>
        </w:tc>
        <w:tc>
          <w:tcPr>
            <w:tcW w:w="1422" w:type="pct"/>
            <w:vAlign w:val="center"/>
          </w:tcPr>
          <w:p>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360" w:type="pct"/>
            <w:vAlign w:val="center"/>
          </w:tcPr>
          <w:p>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Align w:val="center"/>
          </w:tcPr>
          <w:p>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非正常排放情况</w:t>
            </w:r>
          </w:p>
        </w:tc>
        <w:tc>
          <w:tcPr>
            <w:tcW w:w="886" w:type="pct"/>
            <w:vMerge w:val="continue"/>
            <w:vAlign w:val="center"/>
          </w:tcPr>
          <w:p>
            <w:pPr>
              <w:pStyle w:val="101"/>
              <w:adjustRightInd w:val="0"/>
              <w:snapToGrid w:val="0"/>
              <w:spacing w:line="240" w:lineRule="auto"/>
              <w:rPr>
                <w:color w:val="000000" w:themeColor="text1"/>
                <w:sz w:val="22"/>
                <w14:textFill>
                  <w14:solidFill>
                    <w14:schemeClr w14:val="tx1"/>
                  </w14:solidFill>
                </w14:textFill>
              </w:rPr>
            </w:pPr>
          </w:p>
        </w:tc>
        <w:tc>
          <w:tcPr>
            <w:tcW w:w="1422" w:type="pct"/>
            <w:vAlign w:val="center"/>
          </w:tcPr>
          <w:p>
            <w:pPr>
              <w:pStyle w:val="101"/>
              <w:adjustRightInd w:val="0"/>
              <w:snapToGrid w:val="0"/>
              <w:spacing w:line="240" w:lineRule="auto"/>
              <w:rPr>
                <w:bCs/>
                <w:color w:val="000000" w:themeColor="text1"/>
                <w:sz w:val="22"/>
                <w14:textFill>
                  <w14:solidFill>
                    <w14:schemeClr w14:val="tx1"/>
                  </w14:solidFill>
                </w14:textFill>
              </w:rPr>
            </w:pPr>
            <w:r>
              <w:rPr>
                <w:bCs/>
                <w:color w:val="000000" w:themeColor="text1"/>
                <w:sz w:val="22"/>
                <w14:textFill>
                  <w14:solidFill>
                    <w14:schemeClr w14:val="tx1"/>
                  </w14:solidFill>
                </w14:textFill>
              </w:rPr>
              <w:t>350</w:t>
            </w:r>
          </w:p>
        </w:tc>
        <w:tc>
          <w:tcPr>
            <w:tcW w:w="1360" w:type="pct"/>
            <w:vAlign w:val="center"/>
          </w:tcPr>
          <w:p>
            <w:pPr>
              <w:pStyle w:val="101"/>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45</w:t>
            </w:r>
          </w:p>
        </w:tc>
      </w:tr>
    </w:tbl>
    <w:p>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因诸佛乡污水处理厂排污口位于本次论证排污口下游约</w:t>
      </w:r>
      <w:r>
        <w:rPr>
          <w:color w:val="000000" w:themeColor="text1"/>
          <w14:textFill>
            <w14:solidFill>
              <w14:schemeClr w14:val="tx1"/>
            </w14:solidFill>
          </w14:textFill>
        </w:rPr>
        <w:t>10000</w:t>
      </w:r>
      <w:r>
        <w:rPr>
          <w:rFonts w:hint="eastAsia"/>
          <w:color w:val="000000" w:themeColor="text1"/>
          <w14:textFill>
            <w14:solidFill>
              <w14:schemeClr w14:val="tx1"/>
            </w14:solidFill>
          </w14:textFill>
        </w:rPr>
        <w:t>m处、桑拓镇污水处理厂排污口位于本次论证排污口下游约</w:t>
      </w:r>
      <w:r>
        <w:rPr>
          <w:color w:val="000000" w:themeColor="text1"/>
          <w14:textFill>
            <w14:solidFill>
              <w14:schemeClr w14:val="tx1"/>
            </w14:solidFill>
          </w14:textFill>
        </w:rPr>
        <w:t>14000</w:t>
      </w:r>
      <w:r>
        <w:rPr>
          <w:rFonts w:hint="eastAsia"/>
          <w:color w:val="000000" w:themeColor="text1"/>
          <w14:textFill>
            <w14:solidFill>
              <w14:schemeClr w14:val="tx1"/>
            </w14:solidFill>
          </w14:textFill>
        </w:rPr>
        <w:t>m处、鞍子镇污水处理厂排污口位于本次论证排污口下游约</w:t>
      </w:r>
      <w:r>
        <w:rPr>
          <w:color w:val="000000" w:themeColor="text1"/>
          <w14:textFill>
            <w14:solidFill>
              <w14:schemeClr w14:val="tx1"/>
            </w14:solidFill>
          </w14:textFill>
        </w:rPr>
        <w:t>22000</w:t>
      </w:r>
      <w:r>
        <w:rPr>
          <w:rFonts w:hint="eastAsia"/>
          <w:color w:val="000000" w:themeColor="text1"/>
          <w14:textFill>
            <w14:solidFill>
              <w14:schemeClr w14:val="tx1"/>
            </w14:solidFill>
          </w14:textFill>
        </w:rPr>
        <w:t>m处、梅子垭镇污水处理厂排污口位于本次论证排污口下游约</w:t>
      </w:r>
      <w:r>
        <w:rPr>
          <w:color w:val="000000" w:themeColor="text1"/>
          <w14:textFill>
            <w14:solidFill>
              <w14:schemeClr w14:val="tx1"/>
            </w14:solidFill>
          </w14:textFill>
        </w:rPr>
        <w:t>22000</w:t>
      </w:r>
      <w:r>
        <w:rPr>
          <w:rFonts w:hint="eastAsia"/>
          <w:color w:val="000000" w:themeColor="text1"/>
          <w14:textFill>
            <w14:solidFill>
              <w14:schemeClr w14:val="tx1"/>
            </w14:solidFill>
          </w14:textFill>
        </w:rPr>
        <w:t>m处，本次预测按排污口下游</w:t>
      </w:r>
      <w:r>
        <w:rPr>
          <w:color w:val="000000" w:themeColor="text1"/>
          <w14:textFill>
            <w14:solidFill>
              <w14:schemeClr w14:val="tx1"/>
            </w14:solidFill>
          </w14:textFill>
        </w:rPr>
        <w:t>100~10000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10000~14000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14000~22000</w:t>
      </w:r>
      <w:r>
        <w:rPr>
          <w:rFonts w:hint="eastAsia"/>
          <w:color w:val="000000" w:themeColor="text1"/>
          <w14:textFill>
            <w14:solidFill>
              <w14:schemeClr w14:val="tx1"/>
            </w14:solidFill>
          </w14:textFill>
        </w:rPr>
        <w:t>m分段预测，分别在下游</w:t>
      </w:r>
      <w:r>
        <w:rPr>
          <w:color w:val="000000" w:themeColor="text1"/>
          <w14:textFill>
            <w14:solidFill>
              <w14:schemeClr w14:val="tx1"/>
            </w14:solidFill>
          </w14:textFill>
        </w:rPr>
        <w:t>10000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14000</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22000</w:t>
      </w:r>
      <w:r>
        <w:rPr>
          <w:rFonts w:hint="eastAsia"/>
          <w:color w:val="000000" w:themeColor="text1"/>
          <w14:textFill>
            <w14:solidFill>
              <w14:schemeClr w14:val="tx1"/>
            </w14:solidFill>
          </w14:textFill>
        </w:rPr>
        <w:t>m处叠加诸佛乡污水处理厂、桑拓镇污水处理厂、鞍子镇污水处理厂和梅子垭镇污水处理厂污染物浓度，下游各叠加污水处理厂的污染物源强见表4</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预测结果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（1）尾水正常排放预测结果</w:t>
      </w:r>
    </w:p>
    <w:p>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根据河流纵向一维水质模型中</w:t>
      </w:r>
      <w:r>
        <w:rPr>
          <w:rFonts w:hint="eastAsia"/>
          <w:color w:val="000000" w:themeColor="text1"/>
          <w14:textFill>
            <w14:solidFill>
              <w14:schemeClr w14:val="tx1"/>
            </w14:solidFill>
          </w14:textFill>
        </w:rPr>
        <w:t>对流扩散降解模型公式计算，诸佛江枯水位时段评价段评价因子预测浓度值见表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 xml:space="preserve">4  </w:t>
      </w:r>
      <w:r>
        <w:rPr>
          <w:rFonts w:hint="eastAsia" w:hAnsi="宋体"/>
          <w:b/>
          <w:color w:val="000000" w:themeColor="text1"/>
          <w:sz w:val="21"/>
          <w:szCs w:val="21"/>
          <w14:textFill>
            <w14:solidFill>
              <w14:schemeClr w14:val="tx1"/>
            </w14:solidFill>
          </w14:textFill>
        </w:rPr>
        <w:t>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35"/>
        <w:gridCol w:w="2476"/>
        <w:gridCol w:w="24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539" w:type="dxa"/>
            <w:tcBorders>
              <w:top w:val="single" w:color="auto" w:sz="4" w:space="0"/>
              <w:left w:val="single" w:color="auto" w:sz="4" w:space="0"/>
              <w:bottom w:val="single" w:color="auto" w:sz="4" w:space="0"/>
              <w:right w:val="single" w:color="auto" w:sz="4" w:space="0"/>
              <w:tl2br w:val="single" w:color="auto" w:sz="4" w:space="0"/>
            </w:tcBorders>
            <w:vAlign w:val="center"/>
          </w:tcPr>
          <w:p>
            <w:pPr>
              <w:pStyle w:val="118"/>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pPr>
              <w:pStyle w:val="118"/>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410" w:type="dxa"/>
            <w:tcBorders>
              <w:top w:val="single" w:color="auto" w:sz="4" w:space="0"/>
              <w:left w:val="single" w:color="auto" w:sz="4" w:space="0"/>
              <w:bottom w:val="single" w:color="auto" w:sz="4" w:space="0"/>
              <w:right w:val="single" w:color="auto" w:sz="4" w:space="0"/>
            </w:tcBorders>
            <w:vAlign w:val="center"/>
          </w:tcPr>
          <w:p>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347" w:type="dxa"/>
            <w:tcBorders>
              <w:top w:val="single" w:color="auto" w:sz="4" w:space="0"/>
              <w:left w:val="single" w:color="auto" w:sz="4" w:space="0"/>
              <w:bottom w:val="single" w:color="auto" w:sz="4" w:space="0"/>
              <w:right w:val="single" w:color="auto" w:sz="4" w:space="0"/>
            </w:tcBorders>
            <w:vAlign w:val="center"/>
          </w:tcPr>
          <w:p>
            <w:pPr>
              <w:pStyle w:val="118"/>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20.01427</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1.002497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20.00998</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1.00221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19.99283</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1.001065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19.97141</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0.999636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19.92866</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0.996783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19.80092</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0.988274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19.67401</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0.979837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10000</w:t>
            </w:r>
          </w:p>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（叠加诸佛乡污水处理厂）</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19.59319</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0.974832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11000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19.55124</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0.97205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12000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19.50938</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0.969276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13000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19.46761</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0.96651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14000</w:t>
            </w:r>
          </w:p>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（叠加桑拓镇污水处理厂）</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19.47021</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0.971425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16000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19.38693</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0.965888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18000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19.304</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0.960384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19.22143</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0.95491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22000</w:t>
            </w:r>
          </w:p>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（叠加鞍子镇污水处理厂和梅子垭污水处理厂）</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19.19351</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0.958814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24000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19.11141</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0.95335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26000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19.02966</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0.947916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28000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18.94826</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0.942514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39"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30000</w:t>
            </w:r>
          </w:p>
        </w:tc>
        <w:tc>
          <w:tcPr>
            <w:tcW w:w="2410"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18.86721</w:t>
            </w:r>
          </w:p>
        </w:tc>
        <w:tc>
          <w:tcPr>
            <w:tcW w:w="234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0.937142</w:t>
            </w:r>
          </w:p>
        </w:tc>
      </w:tr>
    </w:tbl>
    <w:p>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正常浓度排放下，在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口下游1000米</w:t>
      </w:r>
      <w:r>
        <w:rPr>
          <w:rFonts w:hint="eastAsia"/>
          <w:color w:val="000000" w:themeColor="text1"/>
          <w14:textFill>
            <w14:solidFill>
              <w14:schemeClr w14:val="tx1"/>
            </w14:solidFill>
          </w14:textFill>
        </w:rPr>
        <w:t>内，</w:t>
      </w:r>
      <w:r>
        <w:rPr>
          <w:rFonts w:hint="eastAsia" w:cs="Times New Roman"/>
          <w:color w:val="000000" w:themeColor="text1"/>
          <w14:textFill>
            <w14:solidFill>
              <w14:schemeClr w14:val="tx1"/>
            </w14:solidFill>
          </w14:textFill>
        </w:rPr>
        <w:t>经过河道自净作用，恢复到背景浓度。对诸佛江水质影响甚微，经</w:t>
      </w:r>
      <w:r>
        <w:rPr>
          <w:color w:val="000000" w:themeColor="text1"/>
          <w14:textFill>
            <w14:solidFill>
              <w14:schemeClr w14:val="tx1"/>
            </w14:solidFill>
          </w14:textFill>
        </w:rPr>
        <w:t>河段衰减后的污染物浓度值低于《地表水环境质量标准》（GB 3838-2002）中Ⅲ类水质限值（COD：20mg/L，NH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-N：1.0mg/L）</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（2）尾水非正常排放预测结果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根据河流纵向一维水质模型中对流扩散降解模型公式计算，诸佛江枯水位时段评价段评价因子预测浓度值见表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5</w:t>
      </w:r>
      <w:r>
        <w:rPr>
          <w:rFonts w:hint="eastAsia" w:hAnsi="宋体"/>
          <w:b/>
          <w:color w:val="000000" w:themeColor="text1"/>
          <w:sz w:val="21"/>
          <w:szCs w:val="21"/>
          <w14:textFill>
            <w14:solidFill>
              <w14:schemeClr w14:val="tx1"/>
            </w14:solidFill>
          </w14:textFill>
        </w:rPr>
        <w:t xml:space="preserve"> </w:t>
      </w:r>
      <w:r>
        <w:rPr>
          <w:rFonts w:hAnsi="宋体"/>
          <w:b/>
          <w:color w:val="000000" w:themeColor="text1"/>
          <w:sz w:val="21"/>
          <w:szCs w:val="21"/>
          <w14:textFill>
            <w14:solidFill>
              <w14:schemeClr w14:val="tx1"/>
            </w14:solidFill>
          </w14:textFill>
        </w:rPr>
        <w:t xml:space="preserve"> </w:t>
      </w:r>
      <w:r>
        <w:rPr>
          <w:rFonts w:hint="eastAsia" w:hAnsi="宋体"/>
          <w:b/>
          <w:color w:val="000000" w:themeColor="text1"/>
          <w:sz w:val="21"/>
          <w:szCs w:val="21"/>
          <w14:textFill>
            <w14:solidFill>
              <w14:schemeClr w14:val="tx1"/>
            </w14:solidFill>
          </w14:textFill>
        </w:rPr>
        <w:t>非正常工况下污染物沿程消减情况         单位：mg/L</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72"/>
        <w:gridCol w:w="2185"/>
        <w:gridCol w:w="22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964" w:type="dxa"/>
            <w:tcBorders>
              <w:top w:val="single" w:color="auto" w:sz="4" w:space="0"/>
              <w:left w:val="single" w:color="auto" w:sz="4" w:space="0"/>
              <w:bottom w:val="single" w:color="auto" w:sz="4" w:space="0"/>
              <w:right w:val="single" w:color="auto" w:sz="4" w:space="0"/>
              <w:tl2br w:val="single" w:color="auto" w:sz="4" w:space="0"/>
            </w:tcBorders>
            <w:vAlign w:val="center"/>
          </w:tcPr>
          <w:p>
            <w:pPr>
              <w:pStyle w:val="118"/>
              <w:ind w:firstLine="422"/>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pPr>
              <w:pStyle w:val="118"/>
              <w:ind w:firstLine="422"/>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127" w:type="dxa"/>
            <w:tcBorders>
              <w:top w:val="single" w:color="auto" w:sz="4" w:space="0"/>
              <w:left w:val="single" w:color="auto" w:sz="4" w:space="0"/>
              <w:bottom w:val="single" w:color="auto" w:sz="4" w:space="0"/>
              <w:right w:val="single" w:color="auto" w:sz="4" w:space="0"/>
            </w:tcBorders>
            <w:vAlign w:val="center"/>
          </w:tcPr>
          <w:p>
            <w:pPr>
              <w:pStyle w:val="118"/>
              <w:ind w:firstLine="422"/>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205" w:type="dxa"/>
            <w:tcBorders>
              <w:top w:val="single" w:color="auto" w:sz="4" w:space="0"/>
              <w:left w:val="single" w:color="auto" w:sz="4" w:space="0"/>
              <w:bottom w:val="single" w:color="auto" w:sz="4" w:space="0"/>
              <w:right w:val="single" w:color="auto" w:sz="4" w:space="0"/>
            </w:tcBorders>
            <w:vAlign w:val="center"/>
          </w:tcPr>
          <w:p>
            <w:pPr>
              <w:pStyle w:val="118"/>
              <w:ind w:firstLine="422"/>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20.1177</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1.015693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20.11339</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1.015403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20.09615</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1.014243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20.07463</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1.012795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20.03164</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1.009904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19.90325</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1.001283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19.77569</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0.992735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10000</w:t>
            </w:r>
          </w:p>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（叠加诸佛乡污水处理厂）</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19.71859</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0.990717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11000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19.67637</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0.98789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12000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19.63424</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0.985071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13000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19.5922</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0.98226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14000（叠加桑拓镇污水处理厂）</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19.91562</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1.027687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16000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19.83043</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1.02183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18000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19.74561</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1.016006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19.66114</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1.010216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22000（叠加鞍子镇污水处理厂和梅子垭污水处理厂）</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20.02503</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1.063208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24000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19.93937</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1.057148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26000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19.85408</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1.051123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28000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19.76915</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1.045132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4"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30000</w:t>
            </w:r>
          </w:p>
        </w:tc>
        <w:tc>
          <w:tcPr>
            <w:tcW w:w="2127"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19.68459</w:t>
            </w:r>
          </w:p>
        </w:tc>
        <w:tc>
          <w:tcPr>
            <w:tcW w:w="2205" w:type="dxa"/>
            <w:tcBorders>
              <w:top w:val="single" w:color="auto" w:sz="4" w:space="0"/>
              <w:left w:val="single" w:color="auto" w:sz="4" w:space="0"/>
              <w:bottom w:val="single" w:color="auto" w:sz="4" w:space="0"/>
              <w:right w:val="single" w:color="auto" w:sz="4" w:space="0"/>
            </w:tcBorders>
            <w:vAlign w:val="center"/>
          </w:tcPr>
          <w:p>
            <w:pPr>
              <w:pStyle w:val="101"/>
              <w:adjustRightInd w:val="0"/>
              <w:snapToGrid w:val="0"/>
              <w:spacing w:line="240" w:lineRule="auto"/>
              <w:ind w:firstLine="44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1.039176</w:t>
            </w:r>
          </w:p>
        </w:tc>
      </w:tr>
    </w:tbl>
    <w:p>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事故状态下，在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w:t>
      </w:r>
      <w:r>
        <w:rPr>
          <w:rFonts w:hint="eastAsia"/>
          <w:color w:val="000000" w:themeColor="text1"/>
          <w14:textFill>
            <w14:solidFill>
              <w14:schemeClr w14:val="tx1"/>
            </w14:solidFill>
          </w14:textFill>
        </w:rPr>
        <w:t>河段</w:t>
      </w:r>
      <w:r>
        <w:rPr>
          <w:rFonts w:hint="eastAsia" w:cs="Times New Roman"/>
          <w:color w:val="000000" w:themeColor="text1"/>
          <w14:textFill>
            <w14:solidFill>
              <w14:schemeClr w14:val="tx1"/>
            </w14:solidFill>
          </w14:textFill>
        </w:rPr>
        <w:t>经过河道自净作用，很难恢复到背景浓度。因此，事故排放</w:t>
      </w:r>
      <w:r>
        <w:rPr>
          <w:rFonts w:hint="eastAsia"/>
          <w:color w:val="000000" w:themeColor="text1"/>
          <w14:textFill>
            <w14:solidFill>
              <w14:schemeClr w14:val="tx1"/>
            </w14:solidFill>
          </w14:textFill>
        </w:rPr>
        <w:t>会对诸佛江造成明显污染，</w:t>
      </w:r>
      <w:r>
        <w:rPr>
          <w:rFonts w:hint="eastAsia" w:cs="Times New Roman"/>
          <w:color w:val="000000" w:themeColor="text1"/>
          <w14:textFill>
            <w14:solidFill>
              <w14:schemeClr w14:val="tx1"/>
            </w14:solidFill>
          </w14:textFill>
        </w:rPr>
        <w:t>对诸佛江水质影响较大。</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评价结论</w:t>
      </w:r>
    </w:p>
    <w:p>
      <w:pPr>
        <w:spacing w:before="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根据预测结果，废水未经处理直接排放将会对诸佛江水质产生不利影响，因此，</w:t>
      </w:r>
      <w:r>
        <w:rPr>
          <w:color w:val="000000" w:themeColor="text1"/>
          <w14:textFill>
            <w14:solidFill>
              <w14:schemeClr w14:val="tx1"/>
            </w14:solidFill>
          </w14:textFill>
        </w:rPr>
        <w:t>必须加强污水处理厂的设备及设施的运行管理，</w:t>
      </w:r>
      <w:r>
        <w:rPr>
          <w:rFonts w:hint="eastAsia"/>
          <w:color w:val="000000" w:themeColor="text1"/>
          <w14:textFill>
            <w14:solidFill>
              <w14:schemeClr w14:val="tx1"/>
            </w14:solidFill>
          </w14:textFill>
        </w:rPr>
        <w:t>杜绝废水未经处理直接排放的情况发生。</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为切实保护</w:t>
      </w:r>
      <w:r>
        <w:rPr>
          <w:rFonts w:hint="eastAsia" w:cs="Times New Roman"/>
          <w:color w:val="000000" w:themeColor="text1"/>
          <w14:textFill>
            <w14:solidFill>
              <w14:schemeClr w14:val="tx1"/>
            </w14:solidFill>
          </w14:textFill>
        </w:rPr>
        <w:t>受纳水体及下游</w:t>
      </w:r>
      <w:r>
        <w:rPr>
          <w:rFonts w:cs="Times New Roman"/>
          <w:color w:val="000000" w:themeColor="text1"/>
          <w14:textFill>
            <w14:solidFill>
              <w14:schemeClr w14:val="tx1"/>
            </w14:solidFill>
          </w14:textFill>
        </w:rPr>
        <w:t>地表水环境，本论证报告提出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大同镇污水处理厂</w:t>
      </w:r>
      <w:r>
        <w:rPr>
          <w:rFonts w:hint="eastAsia" w:cs="Times New Roman"/>
          <w:color w:val="000000" w:themeColor="text1"/>
          <w14:textFill>
            <w14:solidFill>
              <w14:schemeClr w14:val="tx1"/>
            </w14:solidFill>
          </w14:textFill>
        </w:rPr>
        <w:t>采取措施，降低事故发生和事故排放的概率：</w:t>
      </w:r>
    </w:p>
    <w:p>
      <w:pPr>
        <w:widowControl/>
        <w:ind w:firstLine="480"/>
        <w:rPr>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强化自身环境管理，做好污水收集工作：污水处理厂区自身废水全部排入污水处理设施进行处理，不得随意直接外排</w:t>
      </w:r>
      <w:r>
        <w:rPr>
          <w:rFonts w:hint="eastAsia"/>
          <w:bCs/>
          <w:color w:val="000000" w:themeColor="text1"/>
          <w14:textFill>
            <w14:solidFill>
              <w14:schemeClr w14:val="tx1"/>
            </w14:solidFill>
          </w14:textFill>
        </w:rPr>
        <w:t>。</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加强对污水处理设施的管理，</w:t>
      </w:r>
      <w:r>
        <w:rPr>
          <w:rFonts w:hint="eastAsia" w:cs="Times New Roman"/>
          <w:color w:val="000000" w:themeColor="text1"/>
          <w14:textFill>
            <w14:solidFill>
              <w14:schemeClr w14:val="tx1"/>
            </w14:solidFill>
          </w14:textFill>
        </w:rPr>
        <w:t>若出现浓度超标</w:t>
      </w:r>
      <w:r>
        <w:rPr>
          <w:rFonts w:hint="eastAsia"/>
          <w:color w:val="000000" w:themeColor="text1"/>
          <w14:textFill>
            <w14:solidFill>
              <w14:schemeClr w14:val="tx1"/>
            </w14:solidFill>
          </w14:textFill>
        </w:rPr>
        <w:t>及时查找原因，保证达标排放</w:t>
      </w:r>
      <w:r>
        <w:rPr>
          <w:rFonts w:hint="eastAsia" w:cs="Times New Roman"/>
          <w:color w:val="000000" w:themeColor="text1"/>
          <w14:textFill>
            <w14:solidFill>
              <w14:schemeClr w14:val="tx1"/>
            </w14:solidFill>
          </w14:textFill>
        </w:rPr>
        <w:t>。</w:t>
      </w:r>
    </w:p>
    <w:p>
      <w:pPr>
        <w:widowControl/>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r>
        <w:rPr>
          <w:rFonts w:hint="eastAsia"/>
          <w:color w:val="000000" w:themeColor="text1"/>
          <w14:textFill>
            <w14:solidFill>
              <w14:schemeClr w14:val="tx1"/>
            </w14:solidFill>
          </w14:textFill>
        </w:rPr>
        <w:t>严格水质准入要求。做好进水水质监测工作。</w:t>
      </w:r>
    </w:p>
    <w:p>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做好风险排污预防。本项目工艺具有对负荷变化适应能力较强，出水稳定等优点，在正常运行状态下发生风险排污的可能性小，风险排污往往发生在出现机械故障或停电之时。建议厂方针对不同类型可能发生的突发环境事故，制定不同的应急措施，在事故发生时分别启动相应的措施。</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6" w:name="_Toc184805922"/>
      <w:r>
        <w:rPr>
          <w:rFonts w:hint="eastAsia"/>
          <w:color w:val="000000" w:themeColor="text1"/>
          <w14:textFill>
            <w14:solidFill>
              <w14:schemeClr w14:val="tx1"/>
            </w14:solidFill>
          </w14:textFill>
        </w:rPr>
        <w:t>对水域纳污能力及水质影响分析</w:t>
      </w:r>
      <w:bookmarkEnd w:id="126"/>
    </w:p>
    <w:p>
      <w:pPr>
        <w:pStyle w:val="44"/>
        <w:rPr>
          <w:color w:val="000000" w:themeColor="text1"/>
          <w14:textFill>
            <w14:solidFill>
              <w14:schemeClr w14:val="tx1"/>
            </w14:solidFill>
          </w14:textFill>
        </w:rPr>
      </w:pPr>
      <w:bookmarkStart w:id="127" w:name="_Ref127223765"/>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对纳污能力和限排总量影响分析</w:t>
      </w:r>
      <w:bookmarkEnd w:id="127"/>
    </w:p>
    <w:p>
      <w:pPr>
        <w:ind w:firstLine="480"/>
        <w:rPr>
          <w:color w:val="000000" w:themeColor="text1"/>
          <w:kern w:val="2"/>
          <w14:textFill>
            <w14:solidFill>
              <w14:schemeClr w14:val="tx1"/>
            </w14:solidFill>
          </w14:textFill>
        </w:rPr>
      </w:pPr>
      <w:r>
        <w:rPr>
          <w:color w:val="000000" w:themeColor="text1"/>
          <w14:textFill>
            <w14:solidFill>
              <w14:schemeClr w14:val="tx1"/>
            </w14:solidFill>
          </w14:textFill>
        </w:rPr>
        <w:t>本项目工程排污口位于</w:t>
      </w:r>
      <w:r>
        <w:rPr>
          <w:rFonts w:hint="eastAsia"/>
          <w:color w:val="000000" w:themeColor="text1"/>
          <w14:textFill>
            <w14:solidFill>
              <w14:schemeClr w14:val="tx1"/>
            </w14:solidFill>
          </w14:textFill>
        </w:rPr>
        <w:t>彭水苗族土家族自治县大同镇中心场镇大同镇污水处理厂南侧诸佛江支流小溪沟右岸</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，排污口所在区域为</w:t>
      </w:r>
      <w:r>
        <w:rPr>
          <w:rFonts w:hint="eastAsia"/>
          <w:color w:val="000000" w:themeColor="text1"/>
          <w14:textFill>
            <w14:solidFill>
              <w14:schemeClr w14:val="tx1"/>
            </w14:solidFill>
          </w14:textFill>
        </w:rPr>
        <w:t>“诸佛江诸佛鹿角景观娱乐用水区”</w:t>
      </w:r>
      <w:r>
        <w:rPr>
          <w:rFonts w:hint="eastAsia" w:ascii="宋体" w:hAnsi="宋体"/>
          <w:color w:val="000000" w:themeColor="text1"/>
          <w14:textFill>
            <w14:solidFill>
              <w14:schemeClr w14:val="tx1"/>
            </w14:solidFill>
          </w14:textFill>
        </w:rPr>
        <w:t>二级功能区</w:t>
      </w:r>
      <w:r>
        <w:rPr>
          <w:color w:val="000000" w:themeColor="text1"/>
          <w14:textFill>
            <w14:solidFill>
              <w14:schemeClr w14:val="tx1"/>
            </w14:solidFill>
          </w14:textFill>
        </w:rPr>
        <w:t>，水域功能类别为Ⅲ类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水质目标为Ⅲ类</w:t>
      </w:r>
      <w:r>
        <w:rPr>
          <w:rFonts w:hint="eastAsia"/>
          <w:color w:val="000000" w:themeColor="text1"/>
          <w14:textFill>
            <w14:solidFill>
              <w14:schemeClr w14:val="tx1"/>
            </w14:solidFill>
          </w14:textFill>
        </w:rPr>
        <w:t>，现状水质为</w:t>
      </w:r>
      <w:r>
        <w:rPr>
          <w:color w:val="000000" w:themeColor="text1"/>
          <w14:textFill>
            <w14:solidFill>
              <w14:schemeClr w14:val="tx1"/>
            </w14:solidFill>
          </w14:textFill>
        </w:rPr>
        <w:t>Ⅲ类</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环境容量为COD</w:t>
      </w:r>
      <w:r>
        <w:rPr>
          <w:color w:val="000000" w:themeColor="text1"/>
          <w:kern w:val="2"/>
          <w14:textFill>
            <w14:solidFill>
              <w14:schemeClr w14:val="tx1"/>
            </w14:solidFill>
          </w14:textFill>
        </w:rPr>
        <w:t>318.07t/a、</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2"/>
          <w14:textFill>
            <w14:solidFill>
              <w14:schemeClr w14:val="tx1"/>
            </w14:solidFill>
          </w14:textFill>
        </w:rPr>
        <w:t>14.72t/a</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限制排放量为COD</w:t>
      </w:r>
      <w:r>
        <w:rPr>
          <w:rFonts w:cs="Times New Roman"/>
          <w:color w:val="000000" w:themeColor="text1"/>
          <w14:textFill>
            <w14:solidFill>
              <w14:schemeClr w14:val="tx1"/>
            </w14:solidFill>
          </w14:textFill>
        </w:rPr>
        <w:t>60.498</w:t>
      </w:r>
      <w:r>
        <w:rPr>
          <w:color w:val="000000" w:themeColor="text1"/>
          <w:kern w:val="2"/>
          <w14:textFill>
            <w14:solidFill>
              <w14:schemeClr w14:val="tx1"/>
            </w14:solidFill>
          </w14:textFill>
        </w:rPr>
        <w:t>t/a，NH</w:t>
      </w:r>
      <w:r>
        <w:rPr>
          <w:color w:val="000000" w:themeColor="text1"/>
          <w:kern w:val="2"/>
          <w:vertAlign w:val="subscript"/>
          <w14:textFill>
            <w14:solidFill>
              <w14:schemeClr w14:val="tx1"/>
            </w14:solidFill>
          </w14:textFill>
        </w:rPr>
        <w:t>3</w:t>
      </w:r>
      <w:r>
        <w:rPr>
          <w:color w:val="000000" w:themeColor="text1"/>
          <w:kern w:val="2"/>
          <w14:textFill>
            <w14:solidFill>
              <w14:schemeClr w14:val="tx1"/>
            </w14:solidFill>
          </w14:textFill>
        </w:rPr>
        <w:t>-N6.393t/a。</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按照设计浓度来计算</w:t>
      </w:r>
      <w:r>
        <w:rPr>
          <w:rFonts w:hint="eastAsia"/>
          <w:color w:val="000000" w:themeColor="text1"/>
          <w14:textFill>
            <w14:solidFill>
              <w14:schemeClr w14:val="tx1"/>
            </w14:solidFill>
          </w14:textFill>
        </w:rPr>
        <w:t>项目总的污染物排放</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大同镇污水处理厂</w:t>
      </w:r>
      <w:r>
        <w:rPr>
          <w:rFonts w:cs="Times New Roman"/>
          <w:color w:val="000000" w:themeColor="text1"/>
          <w14:textFill>
            <w14:solidFill>
              <w14:schemeClr w14:val="tx1"/>
            </w14:solidFill>
          </w14:textFill>
        </w:rPr>
        <w:t>设计规模为250m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/d，COD设计排放浓度为60mg/L，</w:t>
      </w:r>
      <w:r>
        <w:rPr>
          <w:rFonts w:cs="Times New Roman"/>
          <w:bCs/>
          <w:color w:val="000000" w:themeColor="text1"/>
          <w14:textFill>
            <w14:solidFill>
              <w14:schemeClr w14:val="tx1"/>
            </w14:solidFill>
          </w14:textFill>
        </w:rPr>
        <w:t>NH</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-N</w:t>
      </w:r>
      <w:r>
        <w:rPr>
          <w:rFonts w:cs="Times New Roman"/>
          <w:color w:val="000000" w:themeColor="text1"/>
          <w14:textFill>
            <w14:solidFill>
              <w14:schemeClr w14:val="tx1"/>
            </w14:solidFill>
          </w14:textFill>
        </w:rPr>
        <w:t>设计排放浓度为8mg/L，设计年排放时间为365天连续排放。则设计年排放量计算如下：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COD年排放量=250×365×60÷10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=5.475t/a；</w:t>
      </w:r>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N</w:t>
      </w:r>
      <w:r>
        <w:rPr>
          <w:rFonts w:cs="Times New Roman"/>
          <w:color w:val="000000" w:themeColor="text1"/>
          <w14:textFill>
            <w14:solidFill>
              <w14:schemeClr w14:val="tx1"/>
            </w14:solidFill>
          </w14:textFill>
        </w:rPr>
        <w:t>年排放量=250×365×8÷10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=0.73t/a</w:t>
      </w:r>
      <w:r>
        <w:rPr>
          <w:rFonts w:hint="eastAsia" w:cs="Times New Roman"/>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“诸佛江诸佛鹿角景观娱乐用水区”的</w:t>
      </w:r>
      <w:r>
        <w:rPr>
          <w:rFonts w:cs="Times New Roman"/>
          <w:color w:val="000000" w:themeColor="text1"/>
          <w14:textFill>
            <w14:solidFill>
              <w14:schemeClr w14:val="tx1"/>
            </w14:solidFill>
          </w14:textFill>
        </w:rPr>
        <w:t>范围内</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有诸佛乡污水处理厂、梅子垭镇污水处理厂、桑拓镇污水处理厂、鞍子镇污水处理厂的入河排污口，其污染物排放情况见表</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ind w:firstLine="422"/>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水功能区其他入河排污口污染物排放状况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88"/>
        <w:gridCol w:w="1673"/>
        <w:gridCol w:w="1807"/>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20"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2325" w:type="dxa"/>
            <w:vAlign w:val="center"/>
          </w:tcPr>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排污单位</w:t>
            </w:r>
          </w:p>
        </w:tc>
        <w:tc>
          <w:tcPr>
            <w:tcW w:w="1629" w:type="dxa"/>
            <w:vAlign w:val="center"/>
          </w:tcPr>
          <w:p>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759" w:type="dxa"/>
            <w:vAlign w:val="center"/>
          </w:tcPr>
          <w:p>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863" w:type="dxa"/>
            <w:vAlign w:val="center"/>
          </w:tcPr>
          <w:p>
            <w:pPr>
              <w:pStyle w:val="58"/>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32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诸佛乡污水处理厂</w:t>
            </w:r>
          </w:p>
        </w:tc>
        <w:tc>
          <w:tcPr>
            <w:tcW w:w="162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1900</w:t>
            </w:r>
          </w:p>
        </w:tc>
        <w:tc>
          <w:tcPr>
            <w:tcW w:w="17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.314</w:t>
            </w:r>
          </w:p>
        </w:tc>
        <w:tc>
          <w:tcPr>
            <w:tcW w:w="1863"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32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鞍子镇污水处理厂</w:t>
            </w:r>
          </w:p>
        </w:tc>
        <w:tc>
          <w:tcPr>
            <w:tcW w:w="1629"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182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7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863"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32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桑拓镇污水处理厂</w:t>
            </w:r>
          </w:p>
        </w:tc>
        <w:tc>
          <w:tcPr>
            <w:tcW w:w="1629"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292000</w:t>
            </w:r>
          </w:p>
        </w:tc>
        <w:tc>
          <w:tcPr>
            <w:tcW w:w="17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863"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32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梅子垭镇污水处理厂</w:t>
            </w:r>
          </w:p>
        </w:tc>
        <w:tc>
          <w:tcPr>
            <w:tcW w:w="1629"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182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w:t>
            </w:r>
          </w:p>
        </w:tc>
        <w:tc>
          <w:tcPr>
            <w:tcW w:w="1759"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w:t>
            </w:r>
          </w:p>
        </w:tc>
        <w:tc>
          <w:tcPr>
            <w:tcW w:w="1863"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325"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29"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678900</w:t>
            </w:r>
          </w:p>
        </w:tc>
        <w:tc>
          <w:tcPr>
            <w:tcW w:w="1759"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40.734</w:t>
            </w:r>
          </w:p>
        </w:tc>
        <w:tc>
          <w:tcPr>
            <w:tcW w:w="1863"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5.431</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“诸佛江诸佛鹿角景观娱乐用水区”的</w:t>
      </w:r>
      <w:r>
        <w:rPr>
          <w:rFonts w:cs="Times New Roman"/>
          <w:color w:val="000000" w:themeColor="text1"/>
          <w14:textFill>
            <w14:solidFill>
              <w14:schemeClr w14:val="tx1"/>
            </w14:solidFill>
          </w14:textFill>
        </w:rPr>
        <w:t>范围内现有</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排污</w:t>
      </w:r>
      <w:r>
        <w:rPr>
          <w:rFonts w:hint="eastAsia" w:cs="Times New Roman"/>
          <w:color w:val="000000" w:themeColor="text1"/>
          <w14:textFill>
            <w14:solidFill>
              <w14:schemeClr w14:val="tx1"/>
            </w14:solidFill>
          </w14:textFill>
        </w:rPr>
        <w:t>单位</w:t>
      </w:r>
      <w:r>
        <w:rPr>
          <w:rFonts w:cs="Times New Roman"/>
          <w:color w:val="000000" w:themeColor="text1"/>
          <w14:textFill>
            <w14:solidFill>
              <w14:schemeClr w14:val="tx1"/>
            </w14:solidFill>
          </w14:textFill>
        </w:rPr>
        <w:t>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-N排放量合计分别为40.743t/a、5.431t/a。</w:t>
      </w:r>
    </w:p>
    <w:p>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入河排污口水功能区污染物排放汇总情况</w:t>
      </w:r>
      <w:r>
        <w:rPr>
          <w:rFonts w:cs="Times New Roman"/>
          <w:color w:val="000000" w:themeColor="text1"/>
          <w14:textFill>
            <w14:solidFill>
              <w14:schemeClr w14:val="tx1"/>
            </w14:solidFill>
          </w14:textFill>
        </w:rPr>
        <w:t>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入河排污口水功能区污染物排放汇总一览表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1"/>
        <w:gridCol w:w="1553"/>
        <w:gridCol w:w="1534"/>
        <w:gridCol w:w="935"/>
        <w:gridCol w:w="1165"/>
        <w:gridCol w:w="1019"/>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计算方法</w:t>
            </w:r>
          </w:p>
        </w:tc>
        <w:tc>
          <w:tcPr>
            <w:tcW w:w="819" w:type="dxa"/>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污染指标</w:t>
            </w:r>
          </w:p>
        </w:tc>
        <w:tc>
          <w:tcPr>
            <w:tcW w:w="1512" w:type="dxa"/>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其他排污单位</w:t>
            </w:r>
            <w:r>
              <w:rPr>
                <w:b/>
                <w:color w:val="000000" w:themeColor="text1"/>
                <w:sz w:val="21"/>
                <w:szCs w:val="21"/>
                <w14:textFill>
                  <w14:solidFill>
                    <w14:schemeClr w14:val="tx1"/>
                  </w14:solidFill>
                </w14:textFill>
              </w:rPr>
              <w:t>入河负荷量（t/a）</w:t>
            </w:r>
          </w:p>
        </w:tc>
        <w:tc>
          <w:tcPr>
            <w:tcW w:w="1493" w:type="dxa"/>
            <w:vAlign w:val="center"/>
          </w:tcPr>
          <w:p>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大同镇污水处理厂</w:t>
            </w:r>
            <w:r>
              <w:rPr>
                <w:b/>
                <w:color w:val="000000" w:themeColor="text1"/>
                <w:sz w:val="21"/>
                <w:szCs w:val="21"/>
                <w14:textFill>
                  <w14:solidFill>
                    <w14:schemeClr w14:val="tx1"/>
                  </w14:solidFill>
                </w14:textFill>
              </w:rPr>
              <w:t>入河负荷量（t/a）</w:t>
            </w:r>
          </w:p>
        </w:tc>
        <w:tc>
          <w:tcPr>
            <w:tcW w:w="910" w:type="dxa"/>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合计（t/a）</w:t>
            </w:r>
          </w:p>
        </w:tc>
        <w:tc>
          <w:tcPr>
            <w:tcW w:w="1134" w:type="dxa"/>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纳污能力（t/a）</w:t>
            </w:r>
          </w:p>
        </w:tc>
        <w:tc>
          <w:tcPr>
            <w:tcW w:w="992" w:type="dxa"/>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限排总量（t/a）</w:t>
            </w:r>
          </w:p>
        </w:tc>
        <w:tc>
          <w:tcPr>
            <w:tcW w:w="788" w:type="dxa"/>
            <w:vAlign w:val="center"/>
          </w:tcPr>
          <w:p>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w:t>
            </w:r>
            <w:r>
              <w:rPr>
                <w:color w:val="000000" w:themeColor="text1"/>
                <w:sz w:val="21"/>
                <w:szCs w:val="21"/>
                <w14:textFill>
                  <w14:solidFill>
                    <w14:schemeClr w14:val="tx1"/>
                  </w14:solidFill>
                </w14:textFill>
              </w:rPr>
              <w:t>设计浓度计算</w:t>
            </w:r>
          </w:p>
        </w:tc>
        <w:tc>
          <w:tcPr>
            <w:tcW w:w="81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51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40.734</w:t>
            </w:r>
          </w:p>
        </w:tc>
        <w:tc>
          <w:tcPr>
            <w:tcW w:w="1493" w:type="dxa"/>
            <w:vAlign w:val="center"/>
          </w:tcPr>
          <w:p>
            <w:pPr>
              <w:spacing w:line="240" w:lineRule="auto"/>
              <w:ind w:firstLine="0" w:firstLineChars="0"/>
              <w:jc w:val="center"/>
              <w:rPr>
                <w:b/>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5.475</w:t>
            </w:r>
          </w:p>
        </w:tc>
        <w:tc>
          <w:tcPr>
            <w:tcW w:w="910"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46.209</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18.07</w:t>
            </w:r>
          </w:p>
        </w:tc>
        <w:tc>
          <w:tcPr>
            <w:tcW w:w="99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0.498</w:t>
            </w:r>
          </w:p>
        </w:tc>
        <w:tc>
          <w:tcPr>
            <w:tcW w:w="78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81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N</w:t>
            </w:r>
          </w:p>
        </w:tc>
        <w:tc>
          <w:tcPr>
            <w:tcW w:w="151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5.431</w:t>
            </w:r>
          </w:p>
        </w:tc>
        <w:tc>
          <w:tcPr>
            <w:tcW w:w="1493" w:type="dxa"/>
            <w:vAlign w:val="center"/>
          </w:tcPr>
          <w:p>
            <w:pPr>
              <w:spacing w:line="240" w:lineRule="auto"/>
              <w:ind w:firstLine="0" w:firstLineChars="0"/>
              <w:jc w:val="center"/>
              <w:rPr>
                <w:b/>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0.73</w:t>
            </w:r>
          </w:p>
        </w:tc>
        <w:tc>
          <w:tcPr>
            <w:tcW w:w="910" w:type="dxa"/>
            <w:vAlign w:val="center"/>
          </w:tcPr>
          <w:p>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6.161</w:t>
            </w:r>
          </w:p>
        </w:tc>
        <w:tc>
          <w:tcPr>
            <w:tcW w:w="1134"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4.72</w:t>
            </w:r>
          </w:p>
        </w:tc>
        <w:tc>
          <w:tcPr>
            <w:tcW w:w="992"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6.393</w:t>
            </w:r>
          </w:p>
        </w:tc>
        <w:tc>
          <w:tcPr>
            <w:tcW w:w="78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bl>
    <w:p>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采用设计排放浓度的计算结果，</w:t>
      </w:r>
      <w:r>
        <w:rPr>
          <w:rFonts w:cs="Times New Roman"/>
          <w:color w:val="000000" w:themeColor="text1"/>
          <w14:textFill>
            <w14:solidFill>
              <w14:schemeClr w14:val="tx1"/>
            </w14:solidFill>
          </w14:textFill>
        </w:rPr>
        <w:t>COD</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的</w:t>
      </w:r>
      <w:r>
        <w:rPr>
          <w:rFonts w:cs="Times New Roman"/>
          <w:color w:val="000000" w:themeColor="text1"/>
          <w14:textFill>
            <w14:solidFill>
              <w14:schemeClr w14:val="tx1"/>
            </w14:solidFill>
          </w14:textFill>
        </w:rPr>
        <w:t>入河量满足水功能区纳污能力的要求。</w:t>
      </w:r>
    </w:p>
    <w:p>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根据</w:t>
      </w:r>
      <w:r>
        <w:rPr>
          <w:rFonts w:hint="eastAsia" w:cs="Times New Roman"/>
          <w:color w:val="000000" w:themeColor="text1"/>
          <w:szCs w:val="22"/>
          <w14:textFill>
            <w14:solidFill>
              <w14:schemeClr w14:val="tx1"/>
            </w14:solidFill>
          </w14:textFill>
        </w:rPr>
        <w:t>《彭水自治县生态环境保护“十四五”规划和二〇三五年远景目标》：“十四五”期间，保障水环境安全，重点实施沿河排污口整治、城镇管网完善、码头船舶污染控制、工业企业污染等综合整治。全面摸清彭水段乌江、郁江入河排污口底数，制定整治方案并持续推进整改，到2025年完成全县所有排污口排查，完成乌江及郁江干流沿线排污口规范化建设。加快补齐污水管网建设短板，推进污水集中处理设施新、改、扩建工作，到2025年，城镇生活污水收集率达到96%以上，乡镇达86%以上。”</w:t>
      </w:r>
    </w:p>
    <w:p>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本项目的建设</w:t>
      </w:r>
      <w:r>
        <w:rPr>
          <w:rFonts w:hint="eastAsia" w:cs="Times New Roman"/>
          <w:color w:val="000000" w:themeColor="text1"/>
          <w:szCs w:val="22"/>
          <w14:textFill>
            <w14:solidFill>
              <w14:schemeClr w14:val="tx1"/>
            </w14:solidFill>
          </w14:textFill>
        </w:rPr>
        <w:t>增加了彭水苗族土家族自治县污水处理能力，使未经处理直接流入诸佛江的废污水进一步减少，</w:t>
      </w:r>
      <w:r>
        <w:rPr>
          <w:rFonts w:cs="Times New Roman"/>
          <w:color w:val="000000" w:themeColor="text1"/>
          <w:szCs w:val="22"/>
          <w14:textFill>
            <w14:solidFill>
              <w14:schemeClr w14:val="tx1"/>
            </w14:solidFill>
          </w14:textFill>
        </w:rPr>
        <w:t>具体</w:t>
      </w:r>
      <w:r>
        <w:rPr>
          <w:rFonts w:hint="eastAsia" w:cs="Times New Roman"/>
          <w:color w:val="000000" w:themeColor="text1"/>
          <w:szCs w:val="22"/>
          <w14:textFill>
            <w14:solidFill>
              <w14:schemeClr w14:val="tx1"/>
            </w14:solidFill>
          </w14:textFill>
        </w:rPr>
        <w:t>污染物</w:t>
      </w:r>
      <w:r>
        <w:rPr>
          <w:rFonts w:cs="Times New Roman"/>
          <w:color w:val="000000" w:themeColor="text1"/>
          <w:szCs w:val="22"/>
          <w14:textFill>
            <w14:solidFill>
              <w14:schemeClr w14:val="tx1"/>
            </w14:solidFill>
          </w14:textFill>
        </w:rPr>
        <w:t>削减量见</w:t>
      </w:r>
      <w:r>
        <w:rPr>
          <w:rFonts w:hint="eastAsia" w:cs="Times New Roman"/>
          <w:color w:val="000000" w:themeColor="text1"/>
          <w:szCs w:val="22"/>
          <w14:textFill>
            <w14:solidFill>
              <w14:schemeClr w14:val="tx1"/>
            </w14:solidFill>
          </w14:textFill>
        </w:rPr>
        <w:t>表6</w:t>
      </w:r>
      <w:r>
        <w:rPr>
          <w:rFonts w:cs="Times New Roman"/>
          <w:color w:val="000000" w:themeColor="text1"/>
          <w:szCs w:val="22"/>
          <w14:textFill>
            <w14:solidFill>
              <w14:schemeClr w14:val="tx1"/>
            </w14:solidFill>
          </w14:textFill>
        </w:rPr>
        <w:t>.2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3。</w:t>
      </w:r>
    </w:p>
    <w:p>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排放污染物种类及</w:t>
      </w:r>
      <w:r>
        <w:rPr>
          <w:rFonts w:hint="eastAsia" w:cs="Times New Roman"/>
          <w:b/>
          <w:color w:val="000000" w:themeColor="text1"/>
          <w:sz w:val="21"/>
          <w:szCs w:val="21"/>
          <w14:textFill>
            <w14:solidFill>
              <w14:schemeClr w14:val="tx1"/>
            </w14:solidFill>
          </w14:textFill>
        </w:rPr>
        <w:t>削减量</w:t>
      </w:r>
      <w:r>
        <w:rPr>
          <w:rFonts w:cs="Times New Roman"/>
          <w:b/>
          <w:color w:val="000000" w:themeColor="text1"/>
          <w:sz w:val="21"/>
          <w:szCs w:val="21"/>
          <w14:textFill>
            <w14:solidFill>
              <w14:schemeClr w14:val="tx1"/>
            </w14:solidFill>
          </w14:textFill>
        </w:rPr>
        <w:t>（按一级B标核算）</w:t>
      </w:r>
    </w:p>
    <w:tbl>
      <w:tblPr>
        <w:tblStyle w:val="2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262"/>
        <w:gridCol w:w="2108"/>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7" w:type="dxa"/>
            <w:vAlign w:val="center"/>
          </w:tcPr>
          <w:p>
            <w:pPr>
              <w:pStyle w:val="58"/>
              <w:rPr>
                <w:b/>
                <w:color w:val="000000" w:themeColor="text1"/>
                <w14:textFill>
                  <w14:solidFill>
                    <w14:schemeClr w14:val="tx1"/>
                  </w14:solidFill>
                </w14:textFill>
              </w:rPr>
            </w:pPr>
            <w:r>
              <w:rPr>
                <w:b/>
                <w:color w:val="000000" w:themeColor="text1"/>
                <w14:textFill>
                  <w14:solidFill>
                    <w14:schemeClr w14:val="tx1"/>
                  </w14:solidFill>
                </w14:textFill>
              </w:rPr>
              <w:t>指标</w:t>
            </w:r>
          </w:p>
        </w:tc>
        <w:tc>
          <w:tcPr>
            <w:tcW w:w="1367" w:type="dxa"/>
            <w:vAlign w:val="center"/>
          </w:tcPr>
          <w:p>
            <w:pPr>
              <w:pStyle w:val="58"/>
              <w:rPr>
                <w:b/>
                <w:color w:val="000000" w:themeColor="text1"/>
                <w14:textFill>
                  <w14:solidFill>
                    <w14:schemeClr w14:val="tx1"/>
                  </w14:solidFill>
                </w14:textFill>
              </w:rPr>
            </w:pPr>
            <w:r>
              <w:rPr>
                <w:b/>
                <w:color w:val="000000" w:themeColor="text1"/>
                <w14:textFill>
                  <w14:solidFill>
                    <w14:schemeClr w14:val="tx1"/>
                  </w14:solidFill>
                </w14:textFill>
              </w:rPr>
              <w:t>进水浓度</w:t>
            </w:r>
          </w:p>
          <w:p>
            <w:pPr>
              <w:pStyle w:val="58"/>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1231" w:type="dxa"/>
            <w:vAlign w:val="center"/>
          </w:tcPr>
          <w:p>
            <w:pPr>
              <w:pStyle w:val="58"/>
              <w:rPr>
                <w:b/>
                <w:color w:val="000000" w:themeColor="text1"/>
                <w14:textFill>
                  <w14:solidFill>
                    <w14:schemeClr w14:val="tx1"/>
                  </w14:solidFill>
                </w14:textFill>
              </w:rPr>
            </w:pPr>
            <w:r>
              <w:rPr>
                <w:b/>
                <w:color w:val="000000" w:themeColor="text1"/>
                <w14:textFill>
                  <w14:solidFill>
                    <w14:schemeClr w14:val="tx1"/>
                  </w14:solidFill>
                </w14:textFill>
              </w:rPr>
              <w:t>产生量</w:t>
            </w:r>
          </w:p>
          <w:p>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62" w:type="dxa"/>
            <w:vAlign w:val="center"/>
          </w:tcPr>
          <w:p>
            <w:pPr>
              <w:pStyle w:val="58"/>
              <w:rPr>
                <w:b/>
                <w:color w:val="000000" w:themeColor="text1"/>
                <w14:textFill>
                  <w14:solidFill>
                    <w14:schemeClr w14:val="tx1"/>
                  </w14:solidFill>
                </w14:textFill>
              </w:rPr>
            </w:pPr>
            <w:r>
              <w:rPr>
                <w:b/>
                <w:color w:val="000000" w:themeColor="text1"/>
                <w14:textFill>
                  <w14:solidFill>
                    <w14:schemeClr w14:val="tx1"/>
                  </w14:solidFill>
                </w14:textFill>
              </w:rPr>
              <w:t>排放浓度</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2108" w:type="dxa"/>
            <w:vAlign w:val="center"/>
          </w:tcPr>
          <w:p>
            <w:pPr>
              <w:pStyle w:val="58"/>
              <w:rPr>
                <w:b/>
                <w:color w:val="000000" w:themeColor="text1"/>
                <w14:textFill>
                  <w14:solidFill>
                    <w14:schemeClr w14:val="tx1"/>
                  </w14:solidFill>
                </w14:textFill>
              </w:rPr>
            </w:pPr>
            <w:r>
              <w:rPr>
                <w:b/>
                <w:color w:val="000000" w:themeColor="text1"/>
                <w14:textFill>
                  <w14:solidFill>
                    <w14:schemeClr w14:val="tx1"/>
                  </w14:solidFill>
                </w14:textFill>
              </w:rPr>
              <w:t>排放量</w:t>
            </w:r>
          </w:p>
          <w:p>
            <w:pPr>
              <w:pStyle w:val="58"/>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31" w:type="dxa"/>
            <w:vAlign w:val="center"/>
          </w:tcPr>
          <w:p>
            <w:pPr>
              <w:pStyle w:val="58"/>
              <w:rPr>
                <w:b/>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削减量（t/a）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废水量</w:t>
            </w:r>
          </w:p>
        </w:tc>
        <w:tc>
          <w:tcPr>
            <w:tcW w:w="1367" w:type="dxa"/>
            <w:vAlign w:val="center"/>
          </w:tcPr>
          <w:p>
            <w:pPr>
              <w:pStyle w:val="58"/>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w:t>
            </w:r>
          </w:p>
        </w:tc>
        <w:tc>
          <w:tcPr>
            <w:tcW w:w="1231" w:type="dxa"/>
            <w:vAlign w:val="center"/>
          </w:tcPr>
          <w:p>
            <w:pPr>
              <w:pStyle w:val="58"/>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91250</w:t>
            </w:r>
          </w:p>
        </w:tc>
        <w:tc>
          <w:tcPr>
            <w:tcW w:w="1262" w:type="dxa"/>
            <w:vAlign w:val="center"/>
          </w:tcPr>
          <w:p>
            <w:pPr>
              <w:pStyle w:val="58"/>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w:t>
            </w:r>
          </w:p>
        </w:tc>
        <w:tc>
          <w:tcPr>
            <w:tcW w:w="2108" w:type="dxa"/>
            <w:vAlign w:val="center"/>
          </w:tcPr>
          <w:p>
            <w:pPr>
              <w:pStyle w:val="58"/>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91250</w:t>
            </w:r>
          </w:p>
        </w:tc>
        <w:tc>
          <w:tcPr>
            <w:tcW w:w="1231" w:type="dxa"/>
            <w:vAlign w:val="center"/>
          </w:tcPr>
          <w:p>
            <w:pPr>
              <w:pStyle w:val="58"/>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136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1.94</w:t>
            </w:r>
          </w:p>
        </w:tc>
        <w:tc>
          <w:tcPr>
            <w:tcW w:w="126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108"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36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20</w:t>
            </w:r>
            <w:r>
              <w:rPr>
                <w:rFonts w:hint="eastAsia"/>
                <w:color w:val="000000" w:themeColor="text1"/>
                <w14:textFill>
                  <w14:solidFill>
                    <w14:schemeClr w14:val="tx1"/>
                  </w14:solidFill>
                </w14:textFill>
              </w:rPr>
              <w:t>0</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8.25</w:t>
            </w:r>
          </w:p>
        </w:tc>
        <w:tc>
          <w:tcPr>
            <w:tcW w:w="126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108"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.825</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36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00</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8.25</w:t>
            </w:r>
          </w:p>
        </w:tc>
        <w:tc>
          <w:tcPr>
            <w:tcW w:w="126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108"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.825</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N</w:t>
            </w:r>
          </w:p>
        </w:tc>
        <w:tc>
          <w:tcPr>
            <w:tcW w:w="136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45</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.11</w:t>
            </w:r>
          </w:p>
        </w:tc>
        <w:tc>
          <w:tcPr>
            <w:tcW w:w="126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108"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.730</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TN</w:t>
            </w:r>
          </w:p>
        </w:tc>
        <w:tc>
          <w:tcPr>
            <w:tcW w:w="136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w:t>
            </w:r>
          </w:p>
        </w:tc>
        <w:tc>
          <w:tcPr>
            <w:tcW w:w="126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108"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.825</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TP</w:t>
            </w:r>
          </w:p>
        </w:tc>
        <w:tc>
          <w:tcPr>
            <w:tcW w:w="1367" w:type="dxa"/>
            <w:vAlign w:val="center"/>
          </w:tcPr>
          <w:p>
            <w:pPr>
              <w:pStyle w:val="58"/>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.456</w:t>
            </w:r>
          </w:p>
        </w:tc>
        <w:tc>
          <w:tcPr>
            <w:tcW w:w="1262"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108"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.091</w:t>
            </w:r>
          </w:p>
        </w:tc>
        <w:tc>
          <w:tcPr>
            <w:tcW w:w="1231" w:type="dxa"/>
            <w:vAlign w:val="center"/>
          </w:tcPr>
          <w:p>
            <w:pPr>
              <w:pStyle w:val="5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.365</w:t>
            </w:r>
          </w:p>
        </w:tc>
      </w:tr>
    </w:tbl>
    <w:p>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2，本项目的建设，大大削减了区域污染物排放量，项目COD削减量26.465</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/a，NH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-N削减量3.38t/a。</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根据《中华人民共和国长江保护法》第四十七条：</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属于污水集中处理设施排污口的新建，不在</w:t>
      </w:r>
      <w:r>
        <w:rPr>
          <w:rFonts w:cs="Times New Roman"/>
          <w:color w:val="000000" w:themeColor="text1"/>
          <w14:textFill>
            <w14:solidFill>
              <w14:schemeClr w14:val="tx1"/>
            </w14:solidFill>
          </w14:textFill>
        </w:rPr>
        <w:t>《中华人民共和国长江保护法》第四十七条</w:t>
      </w:r>
      <w:r>
        <w:rPr>
          <w:rFonts w:hint="eastAsia" w:cs="Times New Roman"/>
          <w:color w:val="000000" w:themeColor="text1"/>
          <w14:textFill>
            <w14:solidFill>
              <w14:schemeClr w14:val="tx1"/>
            </w14:solidFill>
          </w14:textFill>
        </w:rPr>
        <w:t>严格控制范围内，因此</w:t>
      </w:r>
      <w:r>
        <w:rPr>
          <w:rFonts w:cs="Times New Roman"/>
          <w:color w:val="000000" w:themeColor="text1"/>
          <w14:textFill>
            <w14:solidFill>
              <w14:schemeClr w14:val="tx1"/>
            </w14:solidFill>
          </w14:textFill>
        </w:rPr>
        <w:t>本项目可实施。</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本项目所在排污口位于</w:t>
      </w:r>
      <w:r>
        <w:rPr>
          <w:rFonts w:hint="eastAsia" w:cs="Times New Roman"/>
          <w:color w:val="000000" w:themeColor="text1"/>
          <w14:textFill>
            <w14:solidFill>
              <w14:schemeClr w14:val="tx1"/>
            </w14:solidFill>
          </w14:textFill>
        </w:rPr>
        <w:t>诸佛江支流小溪沟右岸</w:t>
      </w:r>
      <w:r>
        <w:rPr>
          <w:rFonts w:cs="Times New Roman"/>
          <w:color w:val="000000" w:themeColor="text1"/>
          <w14:textFill>
            <w14:solidFill>
              <w14:schemeClr w14:val="tx1"/>
            </w14:solidFill>
          </w14:textFill>
        </w:rPr>
        <w:t>，属于污水集中处理设施排污口，同时本项目对区域污染物有削减正效应；本项目为公益事业性项目，为城市污水集中处理设施的排污口</w:t>
      </w: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项目，本项目的建设可进一步削减流域</w:t>
      </w:r>
      <w:r>
        <w:rPr>
          <w:rFonts w:hint="eastAsia" w:cs="Times New Roman"/>
          <w:color w:val="000000" w:themeColor="text1"/>
          <w14:textFill>
            <w14:solidFill>
              <w14:schemeClr w14:val="tx1"/>
            </w14:solidFill>
          </w14:textFill>
        </w:rPr>
        <w:t>污染物</w:t>
      </w:r>
      <w:r>
        <w:rPr>
          <w:rFonts w:cs="Times New Roman"/>
          <w:color w:val="000000" w:themeColor="text1"/>
          <w14:textFill>
            <w14:solidFill>
              <w14:schemeClr w14:val="tx1"/>
            </w14:solidFill>
          </w14:textFill>
        </w:rPr>
        <w:t>入河量，是符合《中华人民共和国长江保护法》要求的。</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但是为了能使COD、NH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-N能实现长期稳定</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满足流域纳污能力、降低</w:t>
      </w:r>
      <w:r>
        <w:rPr>
          <w:rFonts w:cs="Times New Roman"/>
          <w:color w:val="000000" w:themeColor="text1"/>
          <w:szCs w:val="22"/>
          <w14:textFill>
            <w14:solidFill>
              <w14:schemeClr w14:val="tx1"/>
            </w14:solidFill>
          </w14:textFill>
        </w:rPr>
        <w:t>河流水系污染负荷</w:t>
      </w:r>
      <w:r>
        <w:rPr>
          <w:rFonts w:cs="Times New Roman"/>
          <w:color w:val="000000" w:themeColor="text1"/>
          <w14:textFill>
            <w14:solidFill>
              <w14:schemeClr w14:val="tx1"/>
            </w14:solidFill>
          </w14:textFill>
        </w:rPr>
        <w:t>，应经常对污水处理设施各工艺单元进行维护，</w:t>
      </w:r>
      <w:r>
        <w:rPr>
          <w:rFonts w:hint="eastAsia" w:cs="Times New Roman"/>
          <w:color w:val="000000" w:themeColor="text1"/>
          <w14:textFill>
            <w14:solidFill>
              <w14:schemeClr w14:val="tx1"/>
            </w14:solidFill>
          </w14:textFill>
        </w:rPr>
        <w:t>严格技术管理，严控出水水质，</w:t>
      </w:r>
      <w:r>
        <w:rPr>
          <w:rFonts w:cs="Times New Roman"/>
          <w:color w:val="000000" w:themeColor="text1"/>
          <w14:textFill>
            <w14:solidFill>
              <w14:schemeClr w14:val="tx1"/>
            </w14:solidFill>
          </w14:textFill>
        </w:rPr>
        <w:t>保证厂区污水处理工艺能正常运行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减少污染物入河量，实现最大限度的削减</w:t>
      </w:r>
      <w:r>
        <w:rPr>
          <w:rFonts w:hint="eastAsia" w:cs="Times New Roman"/>
          <w:color w:val="000000" w:themeColor="text1"/>
          <w14:textFill>
            <w14:solidFill>
              <w14:schemeClr w14:val="tx1"/>
            </w14:solidFill>
          </w14:textFill>
        </w:rPr>
        <w:t>。</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综上所述，通过对水功能区水质目标影响分析，本项目建成后虽然对水功能区纳污能力</w:t>
      </w:r>
      <w:r>
        <w:rPr>
          <w:rFonts w:hint="eastAsia" w:cs="Times New Roman"/>
          <w:color w:val="000000" w:themeColor="text1"/>
          <w14:textFill>
            <w14:solidFill>
              <w14:schemeClr w14:val="tx1"/>
            </w14:solidFill>
          </w14:textFill>
        </w:rPr>
        <w:t>及限排总量</w:t>
      </w:r>
      <w:r>
        <w:rPr>
          <w:rFonts w:cs="Times New Roman"/>
          <w:color w:val="000000" w:themeColor="text1"/>
          <w14:textFill>
            <w14:solidFill>
              <w14:schemeClr w14:val="tx1"/>
            </w14:solidFill>
          </w14:textFill>
        </w:rPr>
        <w:t>有一定影响，但影响范围是有限的，</w:t>
      </w:r>
      <w:r>
        <w:rPr>
          <w:rFonts w:hint="eastAsia" w:cs="Times New Roman"/>
          <w:color w:val="000000" w:themeColor="text1"/>
          <w14:textFill>
            <w14:solidFill>
              <w14:schemeClr w14:val="tx1"/>
            </w14:solidFill>
          </w14:textFill>
        </w:rPr>
        <w:t>而且正常排放时，</w:t>
      </w:r>
      <w:r>
        <w:rPr>
          <w:rFonts w:hint="eastAsia"/>
          <w:color w:val="000000" w:themeColor="text1"/>
          <w14:textFill>
            <w14:solidFill>
              <w14:schemeClr w14:val="tx1"/>
            </w14:solidFill>
          </w14:textFill>
        </w:rPr>
        <w:t>“诸佛江诸佛鹿角景观娱乐用水区”</w:t>
      </w:r>
      <w:r>
        <w:rPr>
          <w:rFonts w:hint="eastAsia" w:cs="Times New Roman"/>
          <w:color w:val="000000" w:themeColor="text1"/>
          <w14:textFill>
            <w14:solidFill>
              <w14:schemeClr w14:val="tx1"/>
            </w14:solidFill>
          </w14:textFill>
        </w:rPr>
        <w:t>仍满足水质管理要求；</w:t>
      </w:r>
      <w:r>
        <w:rPr>
          <w:rFonts w:cs="Times New Roman"/>
          <w:color w:val="000000" w:themeColor="text1"/>
          <w14:textFill>
            <w14:solidFill>
              <w14:schemeClr w14:val="tx1"/>
            </w14:solidFill>
          </w14:textFill>
        </w:rPr>
        <w:t>同时本工程</w:t>
      </w:r>
      <w:r>
        <w:rPr>
          <w:rFonts w:hint="eastAsia" w:cs="Times New Roman"/>
          <w:color w:val="000000" w:themeColor="text1"/>
          <w14:textFill>
            <w14:solidFill>
              <w14:schemeClr w14:val="tx1"/>
            </w14:solidFill>
          </w14:textFill>
        </w:rPr>
        <w:t>减少了污水未经处理直接流进诸佛江的概率，</w:t>
      </w:r>
      <w:r>
        <w:rPr>
          <w:rFonts w:cs="Times New Roman"/>
          <w:color w:val="000000" w:themeColor="text1"/>
          <w14:textFill>
            <w14:solidFill>
              <w14:schemeClr w14:val="tx1"/>
            </w14:solidFill>
          </w14:textFill>
        </w:rPr>
        <w:t>有效缓解</w:t>
      </w:r>
      <w:r>
        <w:rPr>
          <w:rFonts w:hint="eastAsia" w:cs="Times New Roman"/>
          <w:color w:val="000000" w:themeColor="text1"/>
          <w14:textFill>
            <w14:solidFill>
              <w14:schemeClr w14:val="tx1"/>
            </w14:solidFill>
          </w14:textFill>
        </w:rPr>
        <w:t>彭水苗族土家族自治县</w:t>
      </w:r>
      <w:r>
        <w:rPr>
          <w:rFonts w:cs="Times New Roman"/>
          <w:color w:val="000000" w:themeColor="text1"/>
          <w14:textFill>
            <w14:solidFill>
              <w14:schemeClr w14:val="tx1"/>
            </w14:solidFill>
          </w14:textFill>
        </w:rPr>
        <w:t>发展对于</w:t>
      </w:r>
      <w:r>
        <w:rPr>
          <w:rFonts w:hint="eastAsia" w:cs="Times New Roman"/>
          <w:color w:val="000000" w:themeColor="text1"/>
          <w14:textFill>
            <w14:solidFill>
              <w14:schemeClr w14:val="tx1"/>
            </w14:solidFill>
          </w14:textFill>
        </w:rPr>
        <w:t>诸佛江及下游</w:t>
      </w:r>
      <w:r>
        <w:rPr>
          <w:rFonts w:cs="Times New Roman"/>
          <w:color w:val="000000" w:themeColor="text1"/>
          <w14:textFill>
            <w14:solidFill>
              <w14:schemeClr w14:val="tx1"/>
            </w14:solidFill>
          </w14:textFill>
        </w:rPr>
        <w:t>的排污压力。该项目集中处理服务范围内生活污水，能够削减服务区域向</w:t>
      </w:r>
      <w:r>
        <w:rPr>
          <w:rFonts w:hint="eastAsia" w:cs="Times New Roman"/>
          <w:color w:val="000000" w:themeColor="text1"/>
          <w14:textFill>
            <w14:solidFill>
              <w14:schemeClr w14:val="tx1"/>
            </w14:solidFill>
          </w14:textFill>
        </w:rPr>
        <w:t>诸佛江</w:t>
      </w:r>
      <w:r>
        <w:rPr>
          <w:rFonts w:cs="Times New Roman"/>
          <w:color w:val="000000" w:themeColor="text1"/>
          <w14:textFill>
            <w14:solidFill>
              <w14:schemeClr w14:val="tx1"/>
            </w14:solidFill>
          </w14:textFill>
        </w:rPr>
        <w:t>排污总量，符合《入河排污口设置论证报告技术导则》、《中华人民共和国长江保护法》</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相关要求。</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对水质的影响分析</w:t>
      </w:r>
    </w:p>
    <w:p>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大同镇污水处理厂建设</w:t>
      </w:r>
      <w:r>
        <w:rPr>
          <w:color w:val="000000" w:themeColor="text1"/>
          <w14:textFill>
            <w14:solidFill>
              <w14:schemeClr w14:val="tx1"/>
            </w14:solidFill>
          </w14:textFill>
        </w:rPr>
        <w:t>工程为具有环境正效益的环境治理工程，污水处理厂的建设将</w:t>
      </w:r>
      <w:r>
        <w:rPr>
          <w:rFonts w:hint="eastAsia"/>
          <w:color w:val="000000" w:themeColor="text1"/>
          <w14:textFill>
            <w14:solidFill>
              <w14:schemeClr w14:val="tx1"/>
            </w14:solidFill>
          </w14:textFill>
        </w:rPr>
        <w:t>缓解彭水苗族土家族自治县大同镇场镇</w:t>
      </w:r>
      <w:r>
        <w:rPr>
          <w:color w:val="000000" w:themeColor="text1"/>
          <w14:textFill>
            <w14:solidFill>
              <w14:schemeClr w14:val="tx1"/>
            </w14:solidFill>
          </w14:textFill>
        </w:rPr>
        <w:t>污水处理问题，避免污水未经处理直接排放对</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流域的污染影响。另外，</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出水水质处理达《城镇污水处理厂污染物排放标准》（GB 18918-2002）一级B标准，从减少排放源强的途径来进一步削减了对</w:t>
      </w:r>
      <w:r>
        <w:rPr>
          <w:rFonts w:hint="eastAsia"/>
          <w:color w:val="000000" w:themeColor="text1"/>
          <w14:textFill>
            <w14:solidFill>
              <w14:schemeClr w14:val="tx1"/>
            </w14:solidFill>
          </w14:textFill>
        </w:rPr>
        <w:t>下游诸佛江</w:t>
      </w:r>
      <w:r>
        <w:rPr>
          <w:color w:val="000000" w:themeColor="text1"/>
          <w14:textFill>
            <w14:solidFill>
              <w14:schemeClr w14:val="tx1"/>
            </w14:solidFill>
          </w14:textFill>
        </w:rPr>
        <w:t>的影响，</w:t>
      </w:r>
      <w:r>
        <w:rPr>
          <w:rFonts w:hint="eastAsia"/>
          <w:color w:val="000000" w:themeColor="text1"/>
          <w14:textFill>
            <w14:solidFill>
              <w14:schemeClr w14:val="tx1"/>
            </w14:solidFill>
          </w14:textFill>
        </w:rPr>
        <w:t>因此本项目的实施对诸佛江的水质具有长期正向影响。</w:t>
      </w:r>
      <w:r>
        <w:rPr>
          <w:color w:val="000000" w:themeColor="text1"/>
          <w14:textFill>
            <w14:solidFill>
              <w14:schemeClr w14:val="tx1"/>
            </w14:solidFill>
          </w14:textFill>
        </w:rPr>
        <w:t>同时本项目</w:t>
      </w:r>
      <w:r>
        <w:rPr>
          <w:rFonts w:hint="eastAsia"/>
          <w:color w:val="000000" w:themeColor="text1"/>
          <w14:textFill>
            <w14:solidFill>
              <w14:schemeClr w14:val="tx1"/>
            </w14:solidFill>
          </w14:textFill>
        </w:rPr>
        <w:t>实施后，总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对河道、水文情势和地形地貌的影响小。</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28" w:name="_Toc184805923"/>
      <w:r>
        <w:rPr>
          <w:rFonts w:hint="eastAsia"/>
          <w:color w:val="000000" w:themeColor="text1"/>
          <w14:textFill>
            <w14:solidFill>
              <w14:schemeClr w14:val="tx1"/>
            </w14:solidFill>
          </w14:textFill>
        </w:rPr>
        <w:t>对水生态环境影响</w:t>
      </w:r>
      <w:bookmarkEnd w:id="128"/>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根据调研</w:t>
      </w:r>
      <w:r>
        <w:rPr>
          <w:color w:val="000000" w:themeColor="text1"/>
          <w14:textFill>
            <w14:solidFill>
              <w14:schemeClr w14:val="tx1"/>
            </w14:solidFill>
          </w14:textFill>
        </w:rPr>
        <w:t>和资料查阅</w:t>
      </w:r>
      <w:r>
        <w:rPr>
          <w:rFonts w:hint="eastAsia"/>
          <w:color w:val="000000" w:themeColor="text1"/>
          <w14:textFill>
            <w14:solidFill>
              <w14:schemeClr w14:val="tx1"/>
            </w14:solidFill>
          </w14:textFill>
        </w:rPr>
        <w:t>，诸佛江流域植被较好，流域内无大型工矿企业开发，无规划或在建的大型基建工程，水土保持整体情况良好。</w:t>
      </w:r>
      <w:r>
        <w:rPr>
          <w:color w:val="000000" w:themeColor="text1"/>
          <w:szCs w:val="26"/>
          <w:lang w:val="zh-CN"/>
          <w14:textFill>
            <w14:solidFill>
              <w14:schemeClr w14:val="tx1"/>
            </w14:solidFill>
          </w14:textFill>
        </w:rPr>
        <w:t>诸佛江流域内无自然保护区、水源涵养区、生态敏感区</w:t>
      </w:r>
      <w:r>
        <w:rPr>
          <w:rFonts w:hint="eastAsia"/>
          <w:color w:val="000000" w:themeColor="text1"/>
          <w:szCs w:val="26"/>
          <w:lang w:val="zh-CN"/>
          <w14:textFill>
            <w14:solidFill>
              <w14:schemeClr w14:val="tx1"/>
            </w14:solidFill>
          </w14:textFill>
        </w:rPr>
        <w:t>。</w:t>
      </w:r>
      <w:r>
        <w:rPr>
          <w:color w:val="000000" w:themeColor="text1"/>
          <w14:textFill>
            <w14:solidFill>
              <w14:schemeClr w14:val="tx1"/>
            </w14:solidFill>
          </w14:textFill>
        </w:rPr>
        <w:t>无重要水生生物自然产卵场及索饵场、越冬场和洄游通道、天然渔场等，水体中没有富营养化问题。</w:t>
      </w:r>
    </w:p>
    <w:p>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（1）正常排放</w:t>
      </w:r>
    </w:p>
    <w:p>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本项目正常工况下排放时</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排放对水生生物的影响主要体现在污染物，特别是氮、磷进入水体后，使水体中水生植物生物量增加等环境问题。</w:t>
      </w:r>
      <w:r>
        <w:rPr>
          <w:rFonts w:hint="eastAsia"/>
          <w:color w:val="000000" w:themeColor="text1"/>
          <w14:textFill>
            <w14:solidFill>
              <w14:schemeClr w14:val="tx1"/>
            </w14:solidFill>
          </w14:textFill>
        </w:rPr>
        <w:t>本项目处理规模为</w:t>
      </w:r>
      <w:r>
        <w:rPr>
          <w:color w:val="000000" w:themeColor="text1"/>
          <w14:textFill>
            <w14:solidFill>
              <w14:schemeClr w14:val="tx1"/>
            </w14:solidFill>
          </w14:textFill>
        </w:rPr>
        <w:t>250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AO+化学除磷+消毒</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，出水氮、磷浓度低，对</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水质影响小。</w:t>
      </w:r>
      <w:r>
        <w:rPr>
          <w:snapToGrid/>
          <w:color w:val="000000" w:themeColor="text1"/>
          <w14:textFill>
            <w14:solidFill>
              <w14:schemeClr w14:val="tx1"/>
            </w14:solidFill>
          </w14:textFill>
        </w:rPr>
        <w:t>同时，本项目所排废污水的温度与环境温度一样随季节变化，因此排污口废污水水温不会对水生生物</w:t>
      </w:r>
      <w:r>
        <w:rPr>
          <w:rFonts w:hint="eastAsia"/>
          <w:snapToGrid/>
          <w:color w:val="000000" w:themeColor="text1"/>
          <w14:textFill>
            <w14:solidFill>
              <w14:schemeClr w14:val="tx1"/>
            </w14:solidFill>
          </w14:textFill>
        </w:rPr>
        <w:t>及论证范围下游战胜造成</w:t>
      </w:r>
      <w:r>
        <w:rPr>
          <w:snapToGrid/>
          <w:color w:val="000000" w:themeColor="text1"/>
          <w14:textFill>
            <w14:solidFill>
              <w14:schemeClr w14:val="tx1"/>
            </w14:solidFill>
          </w14:textFill>
        </w:rPr>
        <w:t>较大影响。</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（2）非正常排放</w:t>
      </w:r>
    </w:p>
    <w:p>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非正常排放情况下，可能会影响水生生物正常生长，浮游植物和浮游动物种群也可能会受到影响，耐污种类和数量可能有所增加。在枯水期，超标污染带会对下游河段</w:t>
      </w:r>
      <w:r>
        <w:rPr>
          <w:color w:val="000000" w:themeColor="text1"/>
          <w14:textFill>
            <w14:solidFill>
              <w14:schemeClr w14:val="tx1"/>
            </w14:solidFill>
          </w14:textFill>
        </w:rPr>
        <w:t>水质和水生态环境产生不利影响。</w:t>
      </w:r>
    </w:p>
    <w:p>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综上所述，应尽量避免事故排放，减小对水生生物和下游河段</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的影响。发生事故时，按照环境事件应急预案要求，有针对性的采取措施，尽可能减小事故排放对水生态及下游河段的影响。在采取上述相关措施后，预计污水处理厂尾水排放对诸佛江水生生物</w:t>
      </w:r>
      <w:bookmarkStart w:id="201" w:name="_GoBack"/>
      <w:bookmarkEnd w:id="201"/>
      <w:r>
        <w:rPr>
          <w:rFonts w:hint="eastAsia"/>
          <w:snapToGrid/>
          <w:color w:val="000000" w:themeColor="text1"/>
          <w14:textFill>
            <w14:solidFill>
              <w14:schemeClr w14:val="tx1"/>
            </w14:solidFill>
          </w14:textFill>
        </w:rPr>
        <w:t>及论证范围下游区域</w:t>
      </w:r>
      <w:r>
        <w:rPr>
          <w:rFonts w:hint="eastAsia"/>
          <w:color w:val="000000" w:themeColor="text1"/>
          <w14:textFill>
            <w14:solidFill>
              <w14:schemeClr w14:val="tx1"/>
            </w14:solidFill>
          </w14:textFill>
        </w:rPr>
        <w:t>影响较小，环境可以接受。</w:t>
      </w:r>
    </w:p>
    <w:p>
      <w:pPr>
        <w:pStyle w:val="3"/>
        <w:rPr>
          <w:color w:val="000000" w:themeColor="text1"/>
          <w14:textFill>
            <w14:solidFill>
              <w14:schemeClr w14:val="tx1"/>
            </w14:solidFill>
          </w14:textFill>
        </w:rPr>
      </w:pPr>
      <w:bookmarkStart w:id="129" w:name="_Toc104903741"/>
      <w:r>
        <w:rPr>
          <w:rFonts w:hint="eastAsia"/>
          <w:color w:val="000000" w:themeColor="text1"/>
          <w14:textFill>
            <w14:solidFill>
              <w14:schemeClr w14:val="tx1"/>
            </w14:solidFill>
          </w14:textFill>
        </w:rPr>
        <w:t xml:space="preserve"> </w:t>
      </w:r>
      <w:bookmarkStart w:id="130" w:name="_Toc184805924"/>
      <w:r>
        <w:rPr>
          <w:color w:val="000000" w:themeColor="text1"/>
          <w14:textFill>
            <w14:solidFill>
              <w14:schemeClr w14:val="tx1"/>
            </w14:solidFill>
          </w14:textFill>
        </w:rPr>
        <w:t>对地下水的影响分析</w:t>
      </w:r>
      <w:bookmarkEnd w:id="129"/>
      <w:bookmarkEnd w:id="130"/>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接纳的污水和自身产生的污水全部进入处理系统，经处理达标后排放。不会造成地下水污水和地下水水位的变化。厂内构建筑物、地面以及配套管网全部进行了硬化和防渗处理，污水进入地下水环境可能性较小，对地下水环境影响较小。</w:t>
      </w:r>
      <w:r>
        <w:rPr>
          <w:rFonts w:hint="eastAsia" w:cs="Times New Roman"/>
          <w:color w:val="000000" w:themeColor="text1"/>
          <w14:textFill>
            <w14:solidFill>
              <w14:schemeClr w14:val="tx1"/>
            </w14:solidFill>
          </w14:textFill>
        </w:rPr>
        <w:t>厂内</w:t>
      </w:r>
      <w:r>
        <w:rPr>
          <w:rFonts w:cs="Times New Roman"/>
          <w:color w:val="000000" w:themeColor="text1"/>
          <w14:textFill>
            <w14:solidFill>
              <w14:schemeClr w14:val="tx1"/>
            </w14:solidFill>
          </w14:textFill>
        </w:rPr>
        <w:t>设置应急池，避免事故排放情况的发生。</w:t>
      </w:r>
    </w:p>
    <w:p>
      <w:pPr>
        <w:pStyle w:val="3"/>
        <w:rPr>
          <w:color w:val="000000" w:themeColor="text1"/>
          <w14:textFill>
            <w14:solidFill>
              <w14:schemeClr w14:val="tx1"/>
            </w14:solidFill>
          </w14:textFill>
        </w:rPr>
      </w:pPr>
      <w:bookmarkStart w:id="131" w:name="_Toc104903743"/>
      <w:r>
        <w:rPr>
          <w:rFonts w:hint="eastAsia"/>
          <w:color w:val="000000" w:themeColor="text1"/>
          <w14:textFill>
            <w14:solidFill>
              <w14:schemeClr w14:val="tx1"/>
            </w14:solidFill>
          </w14:textFill>
        </w:rPr>
        <w:t xml:space="preserve"> </w:t>
      </w:r>
      <w:bookmarkStart w:id="132" w:name="_Toc184805925"/>
      <w:r>
        <w:rPr>
          <w:rFonts w:hint="eastAsia"/>
          <w:color w:val="000000" w:themeColor="text1"/>
          <w14:textFill>
            <w14:solidFill>
              <w14:schemeClr w14:val="tx1"/>
            </w14:solidFill>
          </w14:textFill>
        </w:rPr>
        <w:t>对</w:t>
      </w:r>
      <w:r>
        <w:rPr>
          <w:color w:val="000000" w:themeColor="text1"/>
          <w14:textFill>
            <w14:solidFill>
              <w14:schemeClr w14:val="tx1"/>
            </w14:solidFill>
          </w14:textFill>
        </w:rPr>
        <w:t>第三者影响分析</w:t>
      </w:r>
      <w:bookmarkEnd w:id="131"/>
      <w:bookmarkEnd w:id="132"/>
    </w:p>
    <w:p>
      <w:pPr>
        <w:pStyle w:val="44"/>
        <w:rPr>
          <w:color w:val="000000" w:themeColor="text1"/>
          <w14:textFill>
            <w14:solidFill>
              <w14:schemeClr w14:val="tx1"/>
            </w14:solidFill>
          </w14:textFill>
        </w:rPr>
      </w:pPr>
      <w:bookmarkStart w:id="133" w:name="_Toc104903742"/>
      <w:r>
        <w:rPr>
          <w:rFonts w:hint="eastAsia"/>
          <w:color w:val="000000" w:themeColor="text1"/>
          <w14:textFill>
            <w14:solidFill>
              <w14:schemeClr w14:val="tx1"/>
            </w14:solidFill>
          </w14:textFill>
        </w:rPr>
        <w:t>6</w:t>
      </w:r>
      <w:r>
        <w:rPr>
          <w:color w:val="000000" w:themeColor="text1"/>
          <w14:textFill>
            <w14:solidFill>
              <w14:schemeClr w14:val="tx1"/>
            </w14:solidFill>
          </w14:textFill>
        </w:rPr>
        <w:t>.5.1 对下游取水点的影响</w:t>
      </w:r>
    </w:p>
    <w:p>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本次入河排污口设置论证涉及到的第三者主要为</w:t>
      </w:r>
      <w:r>
        <w:rPr>
          <w:rFonts w:hint="eastAsia" w:cs="Times New Roman"/>
          <w:color w:val="000000" w:themeColor="text1"/>
          <w14:textFill>
            <w14:solidFill>
              <w14:schemeClr w14:val="tx1"/>
            </w14:solidFill>
          </w14:textFill>
        </w:rPr>
        <w:t>水功能区</w:t>
      </w:r>
      <w:r>
        <w:rPr>
          <w:rFonts w:hint="eastAsia"/>
          <w:color w:val="000000" w:themeColor="text1"/>
          <w14:textFill>
            <w14:solidFill>
              <w14:schemeClr w14:val="tx1"/>
            </w14:solidFill>
          </w14:textFill>
        </w:rPr>
        <w:t>排污口下游村民零星农户灌溉取水。根据入河排污影响预测结果，本项目在正常工况下，排放的尾水水质</w:t>
      </w:r>
      <w:r>
        <w:rPr>
          <w:rFonts w:hint="eastAsia" w:hAnsi="宋体"/>
          <w:color w:val="000000" w:themeColor="text1"/>
          <w14:textFill>
            <w14:solidFill>
              <w14:schemeClr w14:val="tx1"/>
            </w14:solidFill>
          </w14:textFill>
        </w:rPr>
        <w:t>符合</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Ⅲ类</w:t>
      </w:r>
      <w:r>
        <w:rPr>
          <w:rFonts w:hint="eastAsia" w:hAnsi="宋体"/>
          <w:color w:val="000000" w:themeColor="text1"/>
          <w14:textFill>
            <w14:solidFill>
              <w14:schemeClr w14:val="tx1"/>
            </w14:solidFill>
          </w14:textFill>
        </w:rPr>
        <w:t>水质标准限值，可达到水功能区的</w:t>
      </w:r>
      <w:r>
        <w:rPr>
          <w:rFonts w:hint="eastAsia"/>
          <w:color w:val="000000" w:themeColor="text1"/>
          <w14:textFill>
            <w14:solidFill>
              <w14:schemeClr w14:val="tx1"/>
            </w14:solidFill>
          </w14:textFill>
        </w:rPr>
        <w:t>水质管理目标，同时污水中不含“三致”污染物，在正常运行、合规排放情况下不会对第三方合法水事权益造成影响。</w:t>
      </w:r>
    </w:p>
    <w:p>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事故工况下，污水入河后COD、NH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-N浓度均较原水浓度增加，将对</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水质造成污染，对第三者的正常取水造成影响，事故排污时须采取应急措施，减少影响</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对行洪的影响分析</w:t>
      </w:r>
      <w:bookmarkEnd w:id="133"/>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本项目污水处理厂</w:t>
      </w:r>
      <w:r>
        <w:rPr>
          <w:rFonts w:hint="eastAsia" w:hAnsi="宋体"/>
          <w:color w:val="000000" w:themeColor="text1"/>
          <w14:textFill>
            <w14:solidFill>
              <w14:schemeClr w14:val="tx1"/>
            </w14:solidFill>
          </w14:textFill>
        </w:rPr>
        <w:t>厂内场平标高为</w:t>
      </w:r>
      <w:r>
        <w:rPr>
          <w:rFonts w:hAnsi="宋体"/>
          <w:color w:val="000000" w:themeColor="text1"/>
          <w14:textFill>
            <w14:solidFill>
              <w14:schemeClr w14:val="tx1"/>
            </w14:solidFill>
          </w14:textFill>
        </w:rPr>
        <w:t>1232.238</w:t>
      </w:r>
      <w:r>
        <w:rPr>
          <w:rFonts w:hint="eastAsia" w:hAnsi="宋体"/>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出水计量渠尾水排放管管底标高为</w:t>
      </w:r>
      <w:r>
        <w:rPr>
          <w:rFonts w:hAnsi="宋体"/>
          <w:color w:val="000000" w:themeColor="text1"/>
          <w14:textFill>
            <w14:solidFill>
              <w14:schemeClr w14:val="tx1"/>
            </w14:solidFill>
          </w14:textFill>
        </w:rPr>
        <w:t>1231.995</w:t>
      </w:r>
      <w:r>
        <w:rPr>
          <w:rFonts w:hint="eastAsia" w:hAnsi="宋体"/>
          <w:color w:val="000000" w:themeColor="text1"/>
          <w14:textFill>
            <w14:solidFill>
              <w14:schemeClr w14:val="tx1"/>
            </w14:solidFill>
          </w14:textFill>
        </w:rPr>
        <w:t>m</w:t>
      </w:r>
      <w:r>
        <w:rPr>
          <w:rFonts w:hint="eastAsia"/>
          <w:color w:val="000000" w:themeColor="text1"/>
          <w14:textFill>
            <w14:solidFill>
              <w14:schemeClr w14:val="tx1"/>
            </w14:solidFill>
          </w14:textFill>
        </w:rPr>
        <w:t>，入河排污口上游1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米小溪沟处高程为</w:t>
      </w:r>
      <w:r>
        <w:rPr>
          <w:color w:val="000000" w:themeColor="text1"/>
          <w14:textFill>
            <w14:solidFill>
              <w14:schemeClr w14:val="tx1"/>
            </w14:solidFill>
          </w14:textFill>
        </w:rPr>
        <w:t>1232.073</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厂区不受洪水威胁。</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规划水平年</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为250m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/d（0.0029m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/s），相对于</w:t>
      </w:r>
      <w:r>
        <w:rPr>
          <w:rFonts w:hint="eastAsia"/>
          <w:color w:val="000000" w:themeColor="text1"/>
          <w14:textFill>
            <w14:solidFill>
              <w14:schemeClr w14:val="tx1"/>
            </w14:solidFill>
          </w14:textFill>
        </w:rPr>
        <w:t>排污口所在河段</w:t>
      </w:r>
      <w:r>
        <w:rPr>
          <w:color w:val="000000" w:themeColor="text1"/>
          <w14:textFill>
            <w14:solidFill>
              <w14:schemeClr w14:val="tx1"/>
            </w14:solidFill>
          </w14:textFill>
        </w:rPr>
        <w:t>多年平均流量8.1m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/s，所占比例</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小</w:t>
      </w:r>
      <w:r>
        <w:rPr>
          <w:rFonts w:hint="eastAsia"/>
          <w:color w:val="000000" w:themeColor="text1"/>
          <w14:textFill>
            <w14:solidFill>
              <w14:schemeClr w14:val="tx1"/>
            </w14:solidFill>
          </w14:textFill>
        </w:rPr>
        <w:t>，因此项目总</w:t>
      </w:r>
      <w:r>
        <w:rPr>
          <w:color w:val="000000" w:themeColor="text1"/>
          <w14:textFill>
            <w14:solidFill>
              <w14:schemeClr w14:val="tx1"/>
            </w14:solidFill>
          </w14:textFill>
        </w:rPr>
        <w:t>排污量对河道、水文情势和地形地貌的影响</w:t>
      </w:r>
      <w:r>
        <w:rPr>
          <w:rFonts w:hint="eastAsia"/>
          <w:color w:val="000000" w:themeColor="text1"/>
          <w14:textFill>
            <w14:solidFill>
              <w14:schemeClr w14:val="tx1"/>
            </w14:solidFill>
          </w14:textFill>
        </w:rPr>
        <w:t>很</w:t>
      </w:r>
      <w:r>
        <w:rPr>
          <w:color w:val="000000" w:themeColor="text1"/>
          <w14:textFill>
            <w14:solidFill>
              <w14:schemeClr w14:val="tx1"/>
            </w14:solidFill>
          </w14:textFill>
        </w:rPr>
        <w:t>小。</w:t>
      </w:r>
    </w:p>
    <w:p>
      <w:pPr>
        <w:ind w:firstLine="48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本项目建设内容不新增占用河道行洪断面，</w:t>
      </w:r>
      <w:r>
        <w:rPr>
          <w:color w:val="000000" w:themeColor="text1"/>
          <w14:textFill>
            <w14:solidFill>
              <w14:schemeClr w14:val="tx1"/>
            </w14:solidFill>
          </w14:textFill>
        </w:rPr>
        <w:t>对河道行洪影响小，对河势稳定不会造成影响，且不会对防洪抢险造成影响。建议业主对排污口采取防洪措施，加强汛期的预警系统，保证在汛期时的防洪安全。</w:t>
      </w:r>
    </w:p>
    <w:p>
      <w:pPr>
        <w:ind w:firstLine="492"/>
        <w:rPr>
          <w:color w:val="000000" w:themeColor="text1"/>
          <w:lang w:bidi="en-US"/>
          <w14:textFill>
            <w14:solidFill>
              <w14:schemeClr w14:val="tx1"/>
            </w14:solidFill>
          </w14:textFill>
        </w:rPr>
      </w:pPr>
      <w:r>
        <w:rPr>
          <w:rFonts w:cs="Times New Roman"/>
          <w:color w:val="000000" w:themeColor="text1"/>
          <w:spacing w:val="6"/>
          <w:szCs w:val="28"/>
          <w14:textFill>
            <w14:solidFill>
              <w14:schemeClr w14:val="tx1"/>
            </w14:solidFill>
          </w14:textFill>
        </w:rPr>
        <w:t>综上</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根据现场调查得知，排放口下游</w:t>
      </w:r>
      <w:r>
        <w:rPr>
          <w:rFonts w:hint="eastAsia" w:cs="Times New Roman"/>
          <w:color w:val="000000" w:themeColor="text1"/>
          <w:spacing w:val="6"/>
          <w:szCs w:val="28"/>
          <w14:textFill>
            <w14:solidFill>
              <w14:schemeClr w14:val="tx1"/>
            </w14:solidFill>
          </w14:textFill>
        </w:rPr>
        <w:t>无</w:t>
      </w:r>
      <w:r>
        <w:rPr>
          <w:rFonts w:cs="Times New Roman"/>
          <w:color w:val="000000" w:themeColor="text1"/>
          <w:spacing w:val="6"/>
          <w:szCs w:val="28"/>
          <w14:textFill>
            <w14:solidFill>
              <w14:schemeClr w14:val="tx1"/>
            </w14:solidFill>
          </w14:textFill>
        </w:rPr>
        <w:t>珍稀鱼类</w:t>
      </w:r>
      <w:r>
        <w:rPr>
          <w:rFonts w:hint="eastAsia" w:cs="Times New Roman"/>
          <w:color w:val="000000" w:themeColor="text1"/>
          <w:spacing w:val="6"/>
          <w:szCs w:val="28"/>
          <w14:textFill>
            <w14:solidFill>
              <w14:schemeClr w14:val="tx1"/>
            </w14:solidFill>
          </w14:textFill>
        </w:rPr>
        <w:t>产卵场、索饵场和越冬场</w:t>
      </w:r>
      <w:r>
        <w:rPr>
          <w:rFonts w:cs="Times New Roman"/>
          <w:color w:val="000000" w:themeColor="text1"/>
          <w:spacing w:val="6"/>
          <w:szCs w:val="28"/>
          <w14:textFill>
            <w14:solidFill>
              <w14:schemeClr w14:val="tx1"/>
            </w14:solidFill>
          </w14:textFill>
        </w:rPr>
        <w:t>及洄游通道分布。项目污水处理厂处理规模小，经过</w:t>
      </w:r>
      <w:r>
        <w:rPr>
          <w:rFonts w:hint="eastAsia" w:cs="Times New Roman"/>
          <w:color w:val="000000" w:themeColor="text1"/>
          <w:spacing w:val="6"/>
          <w:szCs w:val="28"/>
          <w14:textFill>
            <w14:solidFill>
              <w14:schemeClr w14:val="tx1"/>
            </w14:solidFill>
          </w14:textFill>
        </w:rPr>
        <w:t>小溪沟和诸佛江</w:t>
      </w:r>
      <w:r>
        <w:rPr>
          <w:rFonts w:cs="Times New Roman"/>
          <w:color w:val="000000" w:themeColor="text1"/>
          <w:spacing w:val="6"/>
          <w:szCs w:val="28"/>
          <w14:textFill>
            <w14:solidFill>
              <w14:schemeClr w14:val="tx1"/>
            </w14:solidFill>
          </w14:textFill>
        </w:rPr>
        <w:t>的稀释和自然降解，项目污水处理厂的正常排放和事故排放的废水，对下游水生生物影响小；且污水处理厂为减排项目，能有效的改善当地地表水水体水质，对下游</w:t>
      </w:r>
      <w:r>
        <w:rPr>
          <w:rFonts w:hint="eastAsia" w:cs="Times New Roman"/>
          <w:color w:val="000000" w:themeColor="text1"/>
          <w:spacing w:val="6"/>
          <w:szCs w:val="28"/>
          <w14:textFill>
            <w14:solidFill>
              <w14:schemeClr w14:val="tx1"/>
            </w14:solidFill>
          </w14:textFill>
        </w:rPr>
        <w:t>诸佛江</w:t>
      </w:r>
      <w:r>
        <w:rPr>
          <w:rFonts w:cs="Times New Roman"/>
          <w:color w:val="000000" w:themeColor="text1"/>
          <w:spacing w:val="6"/>
          <w:szCs w:val="28"/>
          <w14:textFill>
            <w14:solidFill>
              <w14:schemeClr w14:val="tx1"/>
            </w14:solidFill>
          </w14:textFill>
        </w:rPr>
        <w:t>水生生物也能起到一定的保护作用，项目尾水正常排放能为外环境所接受。因此，本项目污水排放采用岸边式排放进入</w:t>
      </w:r>
      <w:r>
        <w:rPr>
          <w:rFonts w:hint="eastAsia" w:cs="Times New Roman"/>
          <w:color w:val="000000" w:themeColor="text1"/>
          <w:spacing w:val="6"/>
          <w:szCs w:val="28"/>
          <w14:textFill>
            <w14:solidFill>
              <w14:schemeClr w14:val="tx1"/>
            </w14:solidFill>
          </w14:textFill>
        </w:rPr>
        <w:t>诸佛江</w:t>
      </w:r>
      <w:r>
        <w:rPr>
          <w:rFonts w:cs="Times New Roman"/>
          <w:color w:val="000000" w:themeColor="text1"/>
          <w:spacing w:val="6"/>
          <w:szCs w:val="28"/>
          <w14:textFill>
            <w14:solidFill>
              <w14:schemeClr w14:val="tx1"/>
            </w14:solidFill>
          </w14:textFill>
        </w:rPr>
        <w:t>，对</w:t>
      </w:r>
      <w:r>
        <w:rPr>
          <w:rFonts w:hint="eastAsia" w:cs="Times New Roman"/>
          <w:color w:val="000000" w:themeColor="text1"/>
          <w:spacing w:val="6"/>
          <w:szCs w:val="28"/>
          <w14:textFill>
            <w14:solidFill>
              <w14:schemeClr w14:val="tx1"/>
            </w14:solidFill>
          </w14:textFill>
        </w:rPr>
        <w:t>诸佛江</w:t>
      </w:r>
      <w:r>
        <w:rPr>
          <w:rFonts w:cs="Times New Roman"/>
          <w:color w:val="000000" w:themeColor="text1"/>
          <w:spacing w:val="6"/>
          <w:szCs w:val="28"/>
          <w14:textFill>
            <w14:solidFill>
              <w14:schemeClr w14:val="tx1"/>
            </w14:solidFill>
          </w14:textFill>
        </w:rPr>
        <w:t>无明显影响</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其入河排污口位置是合理的</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2"/>
        <w:ind w:left="0" w:firstLine="0"/>
        <w:rPr>
          <w:color w:val="000000" w:themeColor="text1"/>
          <w14:textFill>
            <w14:solidFill>
              <w14:schemeClr w14:val="tx1"/>
            </w14:solidFill>
          </w14:textFill>
        </w:rPr>
      </w:pPr>
      <w:bookmarkStart w:id="134" w:name="_Toc467139927"/>
      <w:bookmarkStart w:id="135" w:name="_Toc7509"/>
      <w:bookmarkStart w:id="136" w:name="_Toc184805926"/>
      <w:bookmarkStart w:id="137" w:name="_Toc104903744"/>
      <w:bookmarkStart w:id="138" w:name="_Toc389224698"/>
      <w:bookmarkStart w:id="139" w:name="_Toc384746240"/>
      <w:r>
        <w:rPr>
          <w:color w:val="000000" w:themeColor="text1"/>
          <w14:textFill>
            <w14:solidFill>
              <w14:schemeClr w14:val="tx1"/>
            </w14:solidFill>
          </w14:textFill>
        </w:rPr>
        <w:t>水环境保护</w:t>
      </w:r>
      <w:bookmarkEnd w:id="134"/>
      <w:bookmarkEnd w:id="135"/>
      <w:r>
        <w:rPr>
          <w:color w:val="000000" w:themeColor="text1"/>
          <w14:textFill>
            <w14:solidFill>
              <w14:schemeClr w14:val="tx1"/>
            </w14:solidFill>
          </w14:textFill>
        </w:rPr>
        <w:t>措施</w:t>
      </w:r>
      <w:bookmarkEnd w:id="136"/>
      <w:bookmarkEnd w:id="137"/>
    </w:p>
    <w:p>
      <w:pPr>
        <w:pStyle w:val="3"/>
        <w:rPr>
          <w:color w:val="000000" w:themeColor="text1"/>
          <w14:textFill>
            <w14:solidFill>
              <w14:schemeClr w14:val="tx1"/>
            </w14:solidFill>
          </w14:textFill>
        </w:rPr>
      </w:pPr>
      <w:bookmarkStart w:id="140" w:name="_Toc467139928"/>
      <w:bookmarkStart w:id="141" w:name="_Toc18565"/>
      <w:bookmarkStart w:id="142" w:name="_Toc104903745"/>
      <w:r>
        <w:rPr>
          <w:rFonts w:hint="eastAsia"/>
          <w:color w:val="000000" w:themeColor="text1"/>
          <w14:textFill>
            <w14:solidFill>
              <w14:schemeClr w14:val="tx1"/>
            </w14:solidFill>
          </w14:textFill>
        </w:rPr>
        <w:t xml:space="preserve"> </w:t>
      </w:r>
      <w:bookmarkStart w:id="143" w:name="_Toc184805927"/>
      <w:r>
        <w:rPr>
          <w:rFonts w:hint="eastAsia"/>
          <w:color w:val="000000" w:themeColor="text1"/>
          <w14:textFill>
            <w14:solidFill>
              <w14:schemeClr w14:val="tx1"/>
            </w14:solidFill>
          </w14:textFill>
        </w:rPr>
        <w:t>水生态保护措施</w:t>
      </w:r>
      <w:bookmarkEnd w:id="143"/>
    </w:p>
    <w:p>
      <w:pPr>
        <w:ind w:firstLine="480"/>
        <w:rPr>
          <w:color w:val="000000" w:themeColor="text1"/>
          <w14:textFill>
            <w14:solidFill>
              <w14:schemeClr w14:val="tx1"/>
            </w14:solidFill>
          </w14:textFill>
        </w:rPr>
      </w:pPr>
      <w:r>
        <w:rPr>
          <w:color w:val="000000" w:themeColor="text1"/>
          <w14:textFill>
            <w14:solidFill>
              <w14:schemeClr w14:val="tx1"/>
            </w14:solidFill>
          </w14:textFill>
        </w:rPr>
        <w:t>为了保证废污水得到有效处理，实现废污水达标排放，避免工程运行期间出现废污水非正常排放，或将非正常排放损失降至最低，需制定防范措施。由于本项目现已完成建设，故本次</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针对运行期提出水生态保护措施</w:t>
      </w:r>
      <w:r>
        <w:rPr>
          <w:rFonts w:hint="eastAsia"/>
          <w:color w:val="000000" w:themeColor="text1"/>
          <w14:textFill>
            <w14:solidFill>
              <w14:schemeClr w14:val="tx1"/>
            </w14:solidFill>
          </w14:textFill>
        </w:rPr>
        <w:t>。</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.1.1 运营期水污染防治措施</w:t>
      </w:r>
    </w:p>
    <w:p>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为防止污水集中排放导致地表水体水质恶化</w:t>
      </w:r>
      <w:r>
        <w:rPr>
          <w:rFonts w:cs="Times New Roman"/>
          <w:color w:val="000000" w:themeColor="text1"/>
          <w14:textFill>
            <w14:solidFill>
              <w14:schemeClr w14:val="tx1"/>
            </w14:solidFill>
          </w14:textFill>
        </w:rPr>
        <w:t>，污水处理工程在运营期间应加强管理，采取二次污染防治措施，减轻二次污染对环境的影响。</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（1）强化自身环境管理。污水处理厂区自身废水全部排入污水处理设施进行处理，不得随意外排直接</w:t>
      </w:r>
      <w:r>
        <w:rPr>
          <w:rFonts w:hint="eastAsia" w:cs="Times New Roman"/>
          <w:color w:val="000000" w:themeColor="text1"/>
          <w14:textFill>
            <w14:solidFill>
              <w14:schemeClr w14:val="tx1"/>
            </w14:solidFill>
          </w14:textFill>
        </w:rPr>
        <w:t>外排</w:t>
      </w:r>
      <w:r>
        <w:rPr>
          <w:rFonts w:cs="Times New Roman"/>
          <w:color w:val="000000" w:themeColor="text1"/>
          <w14:textFill>
            <w14:solidFill>
              <w14:schemeClr w14:val="tx1"/>
            </w14:solidFill>
          </w14:textFill>
        </w:rPr>
        <w:t>；同时，定期检查管网，防止堵塞和渗漏现象发生；加强排放口水体水质的监测，及时查找原因，保证达标排放。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（2）严格水质准入要求。</w:t>
      </w:r>
      <w:r>
        <w:rPr>
          <w:rFonts w:hint="eastAsia" w:cs="Times New Roman"/>
          <w:color w:val="000000" w:themeColor="text1"/>
          <w14:textFill>
            <w14:solidFill>
              <w14:schemeClr w14:val="tx1"/>
            </w14:solidFill>
          </w14:textFill>
        </w:rPr>
        <w:t>做好进水水质监测工作</w:t>
      </w:r>
      <w:r>
        <w:rPr>
          <w:rFonts w:cs="Times New Roman"/>
          <w:color w:val="000000" w:themeColor="text1"/>
          <w14:textFill>
            <w14:solidFill>
              <w14:schemeClr w14:val="tx1"/>
            </w14:solidFill>
          </w14:textFill>
        </w:rPr>
        <w:t>。</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（3）做好风险排污预防。建议厂方针对不同的可能发生的突发事故，分别制定不同的应急措施，在事故发生时分别启动相应的措施。</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（4）其他监督管理措施</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1）宣传、组织、贯彻国家有关水生态环境保护的方针、政策、法令和条例，搞好项目运行期间环境保护工作。</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2）执行上级主管部门建立的各种环境管理制度。</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3）领导并组织工程运行期（包括事故运行期）的环境监测工作，建立档案。</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4）加强水资源保护的宣传，加强水法规定的宣贯，提高</w:t>
      </w:r>
      <w:r>
        <w:rPr>
          <w:rFonts w:hint="eastAsia" w:cs="Times New Roman"/>
          <w:color w:val="000000" w:themeColor="text1"/>
          <w14:textFill>
            <w14:solidFill>
              <w14:schemeClr w14:val="tx1"/>
            </w14:solidFill>
          </w14:textFill>
        </w:rPr>
        <w:t>员工</w:t>
      </w:r>
      <w:r>
        <w:rPr>
          <w:rFonts w:cs="Times New Roman"/>
          <w:color w:val="000000" w:themeColor="text1"/>
          <w14:textFill>
            <w14:solidFill>
              <w14:schemeClr w14:val="tx1"/>
            </w14:solidFill>
          </w14:textFill>
        </w:rPr>
        <w:t>水资源保护的意识，保证工程建成后，环境保护工作能按设计方案运行。</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5）对项目涉及水域要进行水质监测，并协助当地</w:t>
      </w:r>
      <w:r>
        <w:rPr>
          <w:rFonts w:hint="eastAsia" w:cs="Times New Roman"/>
          <w:color w:val="000000" w:themeColor="text1"/>
          <w14:textFill>
            <w14:solidFill>
              <w14:schemeClr w14:val="tx1"/>
            </w14:solidFill>
          </w14:textFill>
        </w:rPr>
        <w:t>生态环境</w:t>
      </w:r>
      <w:r>
        <w:rPr>
          <w:rFonts w:cs="Times New Roman"/>
          <w:color w:val="000000" w:themeColor="text1"/>
          <w14:textFill>
            <w14:solidFill>
              <w14:schemeClr w14:val="tx1"/>
            </w14:solidFill>
          </w14:textFill>
        </w:rPr>
        <w:t>部门做好水污染防治工作。</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6）在污水</w:t>
      </w:r>
      <w:r>
        <w:rPr>
          <w:rFonts w:hint="eastAsia" w:cs="Times New Roman"/>
          <w:color w:val="000000" w:themeColor="text1"/>
          <w14:textFill>
            <w14:solidFill>
              <w14:schemeClr w14:val="tx1"/>
            </w14:solidFill>
          </w14:textFill>
        </w:rPr>
        <w:t>处理</w:t>
      </w:r>
      <w:r>
        <w:rPr>
          <w:rFonts w:cs="Times New Roman"/>
          <w:color w:val="000000" w:themeColor="text1"/>
          <w14:textFill>
            <w14:solidFill>
              <w14:schemeClr w14:val="tx1"/>
            </w14:solidFill>
          </w14:textFill>
        </w:rPr>
        <w:t>设施出现故障时，应立即停产检修，严格禁止未经处理废水排放。</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7）建立水质保护管理措施，并不断充实和完善各项管理制度。健全水质保护管理机构，实行统一领导，分区负责，保障各项水质保护规章制度有效实施。</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8）积极开展环保教育、技术培训和学术交流活动，提高员工素质，推广利用先进技术和经验。</w:t>
      </w:r>
    </w:p>
    <w:p>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9）加强水功能区水质监测工作，及时了解水功能区的水环境状况，依照相关法律由地方水行政主管部门加强监督管理，确保达到水功能区管理目标</w:t>
      </w:r>
      <w:r>
        <w:rPr>
          <w:rFonts w:hint="eastAsia" w:cs="Times New Roman"/>
          <w:color w:val="000000" w:themeColor="text1"/>
          <w14:textFill>
            <w14:solidFill>
              <w14:schemeClr w14:val="tx1"/>
            </w14:solidFill>
          </w14:textFill>
        </w:rPr>
        <w:t>。</w:t>
      </w:r>
    </w:p>
    <w:bookmarkEnd w:id="138"/>
    <w:bookmarkEnd w:id="139"/>
    <w:bookmarkEnd w:id="140"/>
    <w:bookmarkEnd w:id="141"/>
    <w:bookmarkEnd w:id="142"/>
    <w:p>
      <w:pPr>
        <w:pStyle w:val="44"/>
        <w:rPr>
          <w:color w:val="000000" w:themeColor="text1"/>
          <w14:textFill>
            <w14:solidFill>
              <w14:schemeClr w14:val="tx1"/>
            </w14:solidFill>
          </w14:textFill>
        </w:rPr>
      </w:pPr>
      <w:bookmarkStart w:id="144" w:name="_Toc2841"/>
      <w:bookmarkStart w:id="145" w:name="_Toc467139929"/>
      <w:bookmarkStart w:id="146" w:name="_Toc384746241"/>
      <w:bookmarkStart w:id="147" w:name="_Toc389224699"/>
      <w:r>
        <w:rPr>
          <w:rFonts w:hint="eastAsia"/>
          <w:color w:val="000000" w:themeColor="text1"/>
          <w14:textFill>
            <w14:solidFill>
              <w14:schemeClr w14:val="tx1"/>
            </w14:solidFill>
          </w14:textFill>
        </w:rPr>
        <w:t>7</w:t>
      </w:r>
      <w:r>
        <w:rPr>
          <w:color w:val="000000" w:themeColor="text1"/>
          <w14:textFill>
            <w14:solidFill>
              <w14:schemeClr w14:val="tx1"/>
            </w14:solidFill>
          </w14:textFill>
        </w:rPr>
        <w:t>.1.2 水资源保护措施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保证供电</w:t>
      </w:r>
    </w:p>
    <w:p>
      <w:pPr>
        <w:widowControl/>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污水处理厂设置有一台装机容量为100KVA箱式变压器，能满足</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总装机容量的需要，使污水处理厂的供电得到了保障。如果出现断电事故，则立即</w:t>
      </w:r>
      <w:r>
        <w:rPr>
          <w:rFonts w:hint="eastAsia"/>
          <w:color w:val="000000" w:themeColor="text1"/>
          <w14:textFill>
            <w14:solidFill>
              <w14:schemeClr w14:val="tx1"/>
            </w14:solidFill>
          </w14:textFill>
        </w:rPr>
        <w:t>与供电部门联系检修</w:t>
      </w:r>
      <w:r>
        <w:rPr>
          <w:color w:val="000000" w:themeColor="text1"/>
          <w14:textFill>
            <w14:solidFill>
              <w14:schemeClr w14:val="tx1"/>
            </w14:solidFill>
          </w14:textFill>
        </w:rPr>
        <w:t>，保证污水处理厂连续、可靠运行</w:t>
      </w:r>
      <w:r>
        <w:rPr>
          <w:rFonts w:cs="Times New Roman"/>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加强监测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对污水处理设施的运转情况要及时监测，确保处理装置正常高效运转，对进水和出水水质要定期监测，根据不同的水质水量及时调整处理单元的运转参数，保障设施的正常和高效运行，以保证最佳的处理效率。一旦水质指标出现异常，可判断处理工艺出现问题或运行的机器设备出现故障，便于及时处理，保证处理出水的稳定。</w:t>
      </w:r>
      <w:r>
        <w:rPr>
          <w:rFonts w:hint="eastAsia" w:cs="Times New Roman"/>
          <w:color w:val="000000" w:themeColor="text1"/>
          <w14:textFill>
            <w14:solidFill>
              <w14:schemeClr w14:val="tx1"/>
            </w14:solidFill>
          </w14:textFill>
        </w:rPr>
        <w:t>加强入河排污口的管理，保护水源生态环境不遭到破坏。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检修设备</w:t>
      </w:r>
    </w:p>
    <w:p>
      <w:pPr>
        <w:ind w:firstLine="480"/>
        <w:rPr>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加强对污水处理厂设备维修与保养，要求管理人员规范化操作，对泵、阀门等定期检修维护，防止突发事件发生。</w:t>
      </w:r>
    </w:p>
    <w:bookmarkEnd w:id="144"/>
    <w:bookmarkEnd w:id="145"/>
    <w:bookmarkEnd w:id="146"/>
    <w:bookmarkEnd w:id="147"/>
    <w:p>
      <w:pPr>
        <w:pStyle w:val="3"/>
        <w:rPr>
          <w:color w:val="000000" w:themeColor="text1"/>
          <w14:textFill>
            <w14:solidFill>
              <w14:schemeClr w14:val="tx1"/>
            </w14:solidFill>
          </w14:textFill>
        </w:rPr>
      </w:pPr>
      <w:bookmarkStart w:id="148" w:name="_Toc184805928"/>
      <w:r>
        <w:rPr>
          <w:rFonts w:hint="eastAsia"/>
          <w:color w:val="000000" w:themeColor="text1"/>
          <w14:textFill>
            <w14:solidFill>
              <w14:schemeClr w14:val="tx1"/>
            </w14:solidFill>
          </w14:textFill>
        </w:rPr>
        <w:t>事故排放时应急措施</w:t>
      </w:r>
      <w:bookmarkEnd w:id="148"/>
    </w:p>
    <w:p>
      <w:pPr>
        <w:pStyle w:val="44"/>
        <w:rPr>
          <w:color w:val="000000" w:themeColor="text1"/>
          <w14:textFill>
            <w14:solidFill>
              <w14:schemeClr w14:val="tx1"/>
            </w14:solidFill>
          </w14:textFill>
        </w:rPr>
      </w:pPr>
      <w:bookmarkStart w:id="149" w:name="_Toc467139930"/>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水环境风险</w:t>
      </w:r>
      <w:bookmarkEnd w:id="149"/>
      <w:r>
        <w:rPr>
          <w:rFonts w:hint="eastAsia"/>
          <w:color w:val="000000" w:themeColor="text1"/>
          <w14:textFill>
            <w14:solidFill>
              <w14:schemeClr w14:val="tx1"/>
            </w14:solidFill>
          </w14:textFill>
        </w:rPr>
        <w:t>分析</w:t>
      </w:r>
    </w:p>
    <w:p>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应</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可能发生的事故</w:t>
      </w:r>
      <w:r>
        <w:rPr>
          <w:rFonts w:hint="eastAsia"/>
          <w:color w:val="000000" w:themeColor="text1"/>
          <w14:textFill>
            <w14:solidFill>
              <w14:schemeClr w14:val="tx1"/>
            </w14:solidFill>
          </w14:textFill>
        </w:rPr>
        <w:t>。</w:t>
      </w:r>
    </w:p>
    <w:p>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大同镇污水处理厂运行过程中可能遇到的水环境风险有：</w:t>
      </w:r>
    </w:p>
    <w:p>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事故排放。污水事故排放主要是污水处理设备发生故障导致污水处理系统无法正常运行或场内废水得不到处理从而引起污水事故排放，污水收集管道渗漏、堵塞也会引起污水事故排放的环境风险，污水事故排放将导致排放口下游的受纳水体受到污染，造成一定程度的环境损害。厂区停电、设施故障和进水水质超标等均可能造成污水事故排放。</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（2）自然灾害。极端天气、地震等自然灾害也</w:t>
      </w:r>
      <w:r>
        <w:rPr>
          <w:rFonts w:hint="eastAsia"/>
          <w:color w:val="000000" w:themeColor="text1"/>
          <w14:textFill>
            <w14:solidFill>
              <w14:schemeClr w14:val="tx1"/>
            </w14:solidFill>
          </w14:textFill>
        </w:rPr>
        <w:t>可能造成污水事故排放。</w:t>
      </w:r>
    </w:p>
    <w:p>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.2.2 应急处理措施</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城市污水厂的运行管理，指从接纳原污水至净化处理排出</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达标</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污水的全过程的管理。对污水处理</w:t>
      </w:r>
      <w:r>
        <w:rPr>
          <w:rFonts w:hint="eastAsia" w:cs="Times New Roman"/>
          <w:color w:val="000000" w:themeColor="text1"/>
          <w14:textFill>
            <w14:solidFill>
              <w14:schemeClr w14:val="tx1"/>
            </w14:solidFill>
          </w14:textFill>
        </w:rPr>
        <w:t>厂</w:t>
      </w:r>
      <w:r>
        <w:rPr>
          <w:rFonts w:cs="Times New Roman"/>
          <w:color w:val="000000" w:themeColor="text1"/>
          <w14:textFill>
            <w14:solidFill>
              <w14:schemeClr w14:val="tx1"/>
            </w14:solidFill>
          </w14:textFill>
        </w:rPr>
        <w:t>可能发生的异常情况，积极采取相应的措施，保证</w:t>
      </w:r>
      <w:r>
        <w:rPr>
          <w:rFonts w:hint="eastAsia" w:cs="Times New Roman"/>
          <w:color w:val="000000" w:themeColor="text1"/>
          <w14:textFill>
            <w14:solidFill>
              <w14:schemeClr w14:val="tx1"/>
            </w14:solidFill>
          </w14:textFill>
        </w:rPr>
        <w:t>接收</w:t>
      </w:r>
      <w:r>
        <w:rPr>
          <w:rFonts w:cs="Times New Roman"/>
          <w:color w:val="000000" w:themeColor="text1"/>
          <w14:textFill>
            <w14:solidFill>
              <w14:schemeClr w14:val="tx1"/>
            </w14:solidFill>
          </w14:textFill>
        </w:rPr>
        <w:t>的废水在任何情况下都能经处理后达标排放，不会对周围的水体环境造成污染。对污水处理系统可能发生的异常情况，积极防范。在突发性污染事故发生后，迅速、高效、有序地开展污染事故的应急处理工作，最大限度的避免和控制污染的扩大；确定潜在的事故、事件或紧急情况，确保经过处理的污水中的污染物浓度符合国家污水综合排放标准的有关规定，并能在事故发生后迅速有效控制处理。</w:t>
      </w:r>
    </w:p>
    <w:p>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排放</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1）停电应急措施</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计划停电，得知停电计划后，值班人员立即上报，启动应急措施。送电后，立即开启水泵，通知泵站进水，恢复生产。若临时停电，根据停电维修严重程度和波及范围立即上报。积极组织力量维修，并立即与电力部门取得联系。事故排除后，维修人员负责对设备进行全面的维修保养，确保环境与设备全部安全后方可恢复生产</w:t>
      </w:r>
      <w:r>
        <w:rPr>
          <w:rFonts w:cs="Times New Roman"/>
          <w:color w:val="000000" w:themeColor="text1"/>
          <w14:textFill>
            <w14:solidFill>
              <w14:schemeClr w14:val="tx1"/>
            </w14:solidFill>
          </w14:textFill>
        </w:rPr>
        <w:t>。</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2）设施故障</w:t>
      </w:r>
    </w:p>
    <w:p>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值班人员发现运行设备发生</w:t>
      </w:r>
      <w:r>
        <w:rPr>
          <w:rFonts w:hint="eastAsia"/>
          <w:color w:val="000000" w:themeColor="text1"/>
          <w14:textFill>
            <w14:solidFill>
              <w14:schemeClr w14:val="tx1"/>
            </w14:solidFill>
          </w14:textFill>
        </w:rPr>
        <w:t>故障或异常时如：装置</w:t>
      </w:r>
      <w:r>
        <w:rPr>
          <w:color w:val="000000" w:themeColor="text1"/>
          <w14:textFill>
            <w14:solidFill>
              <w14:schemeClr w14:val="tx1"/>
            </w14:solidFill>
          </w14:textFill>
        </w:rPr>
        <w:t>故障或</w:t>
      </w:r>
      <w:r>
        <w:rPr>
          <w:rFonts w:hint="eastAsia"/>
          <w:color w:val="000000" w:themeColor="text1"/>
          <w14:textFill>
            <w14:solidFill>
              <w14:schemeClr w14:val="tx1"/>
            </w14:solidFill>
          </w14:textFill>
        </w:rPr>
        <w:t>管道破裂等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立即上报，协调</w:t>
      </w:r>
      <w:r>
        <w:rPr>
          <w:color w:val="000000" w:themeColor="text1"/>
          <w14:textFill>
            <w14:solidFill>
              <w14:schemeClr w14:val="tx1"/>
            </w14:solidFill>
          </w14:textFill>
        </w:rPr>
        <w:t>安排维修人员对现场故障设备进行查看分析，确认发生故障后，并根据工艺情况对运行设备进行调整。</w:t>
      </w:r>
    </w:p>
    <w:p>
      <w:pPr>
        <w:widowControl/>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进水水质</w:t>
      </w:r>
      <w:r>
        <w:rPr>
          <w:rFonts w:hint="eastAsia"/>
          <w:color w:val="000000" w:themeColor="text1"/>
          <w14:textFill>
            <w14:solidFill>
              <w14:schemeClr w14:val="tx1"/>
            </w14:solidFill>
          </w14:textFill>
        </w:rPr>
        <w:t>超标</w:t>
      </w:r>
    </w:p>
    <w:p>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通过巡查，一旦发现来水颜色变化，出现大量白色泡沫、腥味、油污现象，判断是否为进水水质恶化，并适时调整工艺处理参数，采取增大曝气量等措施提高污水处理能力，组织化验人员在各个工艺环节取样化验，确定超标物质，加强管网巡查，查清污染源。若现场无法解决时，</w:t>
      </w:r>
      <w:r>
        <w:rPr>
          <w:rFonts w:hint="eastAsia"/>
          <w:color w:val="000000" w:themeColor="text1"/>
          <w14:textFill>
            <w14:solidFill>
              <w14:schemeClr w14:val="tx1"/>
            </w14:solidFill>
          </w14:textFill>
        </w:rPr>
        <w:t>立即上报，寻求支援。</w:t>
      </w:r>
    </w:p>
    <w:p>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）自然灾害</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根据实际情况，调整汛期的工艺运行方案；在汛期加强各进出泵、反应池进出水闸门和变配电所等关键设备和部位的巡视和监控，做好设备运转状况记录；发现故障和其它异常情况及时报送上级部门。加强现场巡视，特别是构筑物，以防大风天气高空坠物。</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）关好办公室和厂内所有门窗，防止雨水流入，影响设备运行，检查所有设备是否安全，所有文件和记录都放进储柜里。</w:t>
      </w:r>
    </w:p>
    <w:p>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）维修人员在汛期前安排生产运行关键设备和变配电所的检查、维护保养工作并做好室外设备的防雨工作。并及时检查全厂机械设备的接地情况，及时整改存在安全隐患的设施。</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4）如有人员受伤，组织人员及时救护并根据伤员受伤程度及时向120求助。</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5）增加水泵台数，降低集水井水位，直到满负荷为止。值班人员及时检查避雷是否发挥作用；厂抢修队员，车辆做到随叫随到。</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6）当出现暴雨天气进水超过设计处理负荷时，污水处理厂应尽量处理初期雨水，防止超负荷运行影响污水处理系统正常运行。</w:t>
      </w:r>
    </w:p>
    <w:p>
      <w:pPr>
        <w:pStyle w:val="3"/>
        <w:adjustRightInd/>
        <w:snapToGrid/>
        <w:spacing w:before="0" w:beforeLines="0"/>
        <w:ind w:left="198" w:hanging="198"/>
        <w:rPr>
          <w:color w:val="000000" w:themeColor="text1"/>
          <w14:textFill>
            <w14:solidFill>
              <w14:schemeClr w14:val="tx1"/>
            </w14:solidFill>
          </w14:textFill>
        </w:rPr>
      </w:pPr>
      <w:bookmarkStart w:id="150" w:name="_Toc179896088"/>
      <w:bookmarkStart w:id="151" w:name="_Toc104903747"/>
      <w:bookmarkStart w:id="152" w:name="_Toc184805929"/>
      <w:bookmarkStart w:id="153" w:name="_Toc141105591"/>
      <w:r>
        <w:rPr>
          <w:color w:val="000000" w:themeColor="text1"/>
          <w14:textFill>
            <w14:solidFill>
              <w14:schemeClr w14:val="tx1"/>
            </w14:solidFill>
          </w14:textFill>
        </w:rPr>
        <w:t>入河排放口设置要求</w:t>
      </w:r>
      <w:bookmarkEnd w:id="150"/>
      <w:bookmarkEnd w:id="151"/>
      <w:bookmarkEnd w:id="152"/>
      <w:bookmarkEnd w:id="153"/>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关于印发《长江、黄河和渤海入海（河）排污口排查整治分类规则（试行）》《长江、黄河和渤海入海(河)排污口命名与编码规则（试行）》《长江、黄河和渤海入海（河）排污口标志牌设置规则（试行）》的通知”（环办执法函[2020]718号）、《入河（海）排污口命名与编码规则》（HJ 1235-2021）入河排污口标志牌设置规则如下：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样式</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分为立柱式、平面固定式和墩式，各地可根据地形、气候、水文等实际情况选择确定。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牌面信息</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包括图形标志、文字信息和二维码，原则上按照“左图右文”的方式排列。</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图形标志</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图形标志由三部分组成：顶部为排污口门标志，中间为污水标志，底部为受纳水体及鱼形标志。</w:t>
      </w:r>
    </w:p>
    <w:p>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55495" cy="2190750"/>
            <wp:effectExtent l="0" t="0" r="190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27">
                      <a:extLst>
                        <a:ext uri="{28A0092B-C50C-407E-A947-70E740481C1C}">
                          <a14:useLocalDpi xmlns:a14="http://schemas.microsoft.com/office/drawing/2010/main" val="0"/>
                        </a:ext>
                      </a:extLst>
                    </a:blip>
                    <a:srcRect t="3661" b="2740"/>
                    <a:stretch>
                      <a:fillRect/>
                    </a:stretch>
                  </pic:blipFill>
                  <pic:spPr>
                    <a:xfrm>
                      <a:off x="0" y="0"/>
                      <a:ext cx="2055495" cy="2190750"/>
                    </a:xfrm>
                    <a:prstGeom prst="rect">
                      <a:avLst/>
                    </a:prstGeom>
                    <a:noFill/>
                    <a:ln>
                      <a:noFill/>
                    </a:ln>
                  </pic:spPr>
                </pic:pic>
              </a:graphicData>
            </a:graphic>
          </wp:inline>
        </w:drawing>
      </w:r>
    </w:p>
    <w:p>
      <w:pPr>
        <w:ind w:firstLine="482"/>
        <w:jc w:val="center"/>
        <w:rPr>
          <w:b/>
          <w:snapToGrid/>
          <w:color w:val="000000" w:themeColor="text1"/>
          <w14:textFill>
            <w14:solidFill>
              <w14:schemeClr w14:val="tx1"/>
            </w14:solidFill>
          </w14:textFill>
        </w:rPr>
      </w:pPr>
      <w:r>
        <w:rPr>
          <w:b/>
          <w:snapToGrid/>
          <w:color w:val="000000" w:themeColor="text1"/>
          <w14:textFill>
            <w14:solidFill>
              <w14:schemeClr w14:val="tx1"/>
            </w14:solidFill>
          </w14:textFill>
        </w:rPr>
        <w:t xml:space="preserve">图 </w:t>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STYLEREF 2 \s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noBreakHyphen/>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SEQ 图 \* ARABIC \s 2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1</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t xml:space="preserve">    污水排放口标志图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文字信息</w:t>
      </w:r>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排污口类型：按《长江、黄河和渤海入海（河）排污口排查整治分类规则（试行）》中排污口分类的大类填写</w:t>
      </w:r>
      <w:r>
        <w:rPr>
          <w:rFonts w:hint="eastAsia"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排污口名称：按《长江、黄河和渤海入海（河）排污口命名与编码规则（试行）》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企事业单位作为责任主体的入河（海）排污口，按照</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行政区信息</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企事业单位名称</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入河（海）排污口类型</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的规则命名；</w:t>
      </w:r>
    </w:p>
    <w:p>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行政区信息应包含地级市和县级行政区名称。企事业单位名称应以统一社会信用代码对应的名称为准，企事业单位名称中包含行政区信息的，命名时不予重复体现。</w:t>
      </w:r>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排污口编码：按《长江、黄河和渤海入海（河）排污口命名与编码规则（试行）》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包含海区/水系代码、行政区划代码、顺序代码、</w:t>
      </w: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排污口类型代码</w:t>
      </w:r>
      <w:r>
        <w:rPr>
          <w:rFonts w:hint="eastAsia" w:cs="Times New Roman"/>
          <w:color w:val="000000" w:themeColor="text1"/>
          <w14:textFill>
            <w14:solidFill>
              <w14:schemeClr w14:val="tx1"/>
            </w14:solidFill>
          </w14:textFill>
        </w:rPr>
        <w:t>和扩展代码。</w:t>
      </w:r>
    </w:p>
    <w:p>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w:t>
      </w:r>
      <w:r>
        <w:rPr>
          <w:rFonts w:hint="eastAsia" w:cs="Times New Roman"/>
          <w:color w:val="000000" w:themeColor="text1"/>
          <w14:textFill>
            <w14:solidFill>
              <w14:schemeClr w14:val="tx1"/>
            </w14:solidFill>
          </w14:textFill>
        </w:rPr>
        <w:t>编码结构如</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w:instrText>
      </w:r>
      <w:r>
        <w:rPr>
          <w:rFonts w:hint="eastAsia" w:cs="Times New Roman"/>
          <w:color w:val="000000" w:themeColor="text1"/>
          <w14:textFill>
            <w14:solidFill>
              <w14:schemeClr w14:val="tx1"/>
            </w14:solidFill>
          </w14:textFill>
        </w:rPr>
        <w:instrText xml:space="preserve">REF _Ref103935093 \h</w:instrText>
      </w:r>
      <w:r>
        <w:rPr>
          <w:rFonts w:cs="Times New Roman"/>
          <w:color w:val="000000" w:themeColor="text1"/>
          <w14:textFill>
            <w14:solidFill>
              <w14:schemeClr w14:val="tx1"/>
            </w14:solidFill>
          </w14:textFill>
        </w:rPr>
        <w:instrText xml:space="preserve">  \* MERGEFORMAT </w:instrText>
      </w:r>
      <w:r>
        <w:rPr>
          <w:rFonts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noBreakHyphen/>
      </w:r>
      <w:r>
        <w:rPr>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hint="eastAsia" w:cs="Times New Roman"/>
          <w:color w:val="000000" w:themeColor="text1"/>
          <w14:textFill>
            <w14:solidFill>
              <w14:schemeClr w14:val="tx1"/>
            </w14:solidFill>
          </w14:textFill>
        </w:rPr>
        <w:t>所示。</w:t>
      </w:r>
    </w:p>
    <w:p>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mc:AlternateContent>
          <mc:Choice Requires="wpg">
            <w:drawing>
              <wp:inline distT="0" distB="0" distL="0" distR="0">
                <wp:extent cx="4458970" cy="1472565"/>
                <wp:effectExtent l="0" t="0" r="0" b="0"/>
                <wp:docPr id="230" name="组合 230"/>
                <wp:cNvGraphicFramePr/>
                <a:graphic xmlns:a="http://schemas.openxmlformats.org/drawingml/2006/main">
                  <a:graphicData uri="http://schemas.microsoft.com/office/word/2010/wordprocessingGroup">
                    <wpg:wgp>
                      <wpg:cNvGrpSpPr/>
                      <wpg:grpSpPr>
                        <a:xfrm>
                          <a:off x="0" y="0"/>
                          <a:ext cx="4459072" cy="1472572"/>
                          <a:chOff x="0" y="0"/>
                          <a:chExt cx="4459072" cy="1472572"/>
                        </a:xfrm>
                      </wpg:grpSpPr>
                      <wpg:grpSp>
                        <wpg:cNvPr id="231" name="组合 231"/>
                        <wpg:cNvGrpSpPr/>
                        <wpg:grpSpPr>
                          <a:xfrm>
                            <a:off x="0" y="0"/>
                            <a:ext cx="4459072" cy="1472572"/>
                            <a:chOff x="0" y="0"/>
                            <a:chExt cx="4459492" cy="1472769"/>
                          </a:xfrm>
                        </wpg:grpSpPr>
                        <wpg:grpSp>
                          <wpg:cNvPr id="232" name="组合 232"/>
                          <wpg:cNvGrpSpPr/>
                          <wpg:grpSpPr>
                            <a:xfrm>
                              <a:off x="0" y="0"/>
                              <a:ext cx="4459492" cy="1335603"/>
                              <a:chOff x="0" y="0"/>
                              <a:chExt cx="4459492" cy="1335603"/>
                            </a:xfrm>
                          </wpg:grpSpPr>
                          <wps:wsp>
                            <wps:cNvPr id="233" name="文本框 2"/>
                            <wps:cNvSpPr txBox="1">
                              <a:spLocks noChangeArrowheads="1"/>
                            </wps:cNvSpPr>
                            <wps:spPr bwMode="auto">
                              <a:xfrm>
                                <a:off x="2251390" y="500320"/>
                                <a:ext cx="2208102" cy="273720"/>
                              </a:xfrm>
                              <a:prstGeom prst="rect">
                                <a:avLst/>
                              </a:prstGeom>
                              <a:noFill/>
                              <a:ln w="9525">
                                <a:noFill/>
                                <a:miter lim="800000"/>
                              </a:ln>
                            </wps:spPr>
                            <wps:txbx>
                              <w:txbxContent>
                                <w:p>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wps:txbx>
                            <wps:bodyPr rot="0" vert="horz" wrap="square" lIns="91440" tIns="45720" rIns="91440" bIns="45720" anchor="t" anchorCtr="0">
                              <a:spAutoFit/>
                            </wps:bodyPr>
                          </wps:wsp>
                          <wpg:grpSp>
                            <wpg:cNvPr id="234" name="组合 234"/>
                            <wpg:cNvGrpSpPr/>
                            <wpg:grpSpPr>
                              <a:xfrm>
                                <a:off x="0" y="0"/>
                                <a:ext cx="4450815" cy="1335603"/>
                                <a:chOff x="0" y="0"/>
                                <a:chExt cx="4450815" cy="1335603"/>
                              </a:xfrm>
                            </wpg:grpSpPr>
                            <wps:wsp>
                              <wps:cNvPr id="235" name="文本框 2"/>
                              <wps:cNvSpPr txBox="1">
                                <a:spLocks noChangeArrowheads="1"/>
                              </wps:cNvSpPr>
                              <wps:spPr bwMode="auto">
                                <a:xfrm>
                                  <a:off x="0" y="0"/>
                                  <a:ext cx="2208102" cy="254033"/>
                                </a:xfrm>
                                <a:prstGeom prst="rect">
                                  <a:avLst/>
                                </a:prstGeom>
                                <a:noFill/>
                                <a:ln w="9525">
                                  <a:noFill/>
                                  <a:miter lim="800000"/>
                                </a:ln>
                              </wps:spPr>
                              <wps:txbx>
                                <w:txbxContent>
                                  <w:p>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wps:txbx>
                              <wps:bodyPr rot="0" vert="horz" wrap="square" lIns="91440" tIns="45720" rIns="91440" bIns="45720" anchor="t" anchorCtr="0">
                                <a:spAutoFit/>
                              </wps:bodyPr>
                            </wps:wsp>
                            <wps:wsp>
                              <wps:cNvPr id="236" name="连接符: 肘形 54"/>
                              <wps:cNvCnPr/>
                              <wps:spPr>
                                <a:xfrm>
                                  <a:off x="215661" y="207034"/>
                                  <a:ext cx="2027207" cy="1128569"/>
                                </a:xfrm>
                                <a:prstGeom prst="bentConnector3">
                                  <a:avLst>
                                    <a:gd name="adj1" fmla="val 208"/>
                                  </a:avLst>
                                </a:prstGeom>
                                <a:noFill/>
                                <a:ln w="6350" cap="flat" cmpd="sng" algn="ctr">
                                  <a:solidFill>
                                    <a:sysClr val="windowText" lastClr="000000"/>
                                  </a:solidFill>
                                  <a:prstDash val="solid"/>
                                  <a:miter lim="800000"/>
                                  <a:tailEnd type="triangle"/>
                                </a:ln>
                                <a:effectLst/>
                              </wps:spPr>
                              <wps:bodyPr/>
                            </wps:wsp>
                            <wps:wsp>
                              <wps:cNvPr id="237" name="连接符: 肘形 55"/>
                              <wps:cNvCnPr/>
                              <wps:spPr>
                                <a:xfrm>
                                  <a:off x="655608" y="207034"/>
                                  <a:ext cx="1587260" cy="887024"/>
                                </a:xfrm>
                                <a:prstGeom prst="bentConnector3">
                                  <a:avLst>
                                    <a:gd name="adj1" fmla="val -5"/>
                                  </a:avLst>
                                </a:prstGeom>
                                <a:noFill/>
                                <a:ln w="6350" cap="flat" cmpd="sng" algn="ctr">
                                  <a:solidFill>
                                    <a:sysClr val="windowText" lastClr="000000"/>
                                  </a:solidFill>
                                  <a:prstDash val="solid"/>
                                  <a:miter lim="800000"/>
                                  <a:tailEnd type="triangle"/>
                                </a:ln>
                                <a:effectLst/>
                              </wps:spPr>
                              <wps:bodyPr/>
                            </wps:wsp>
                            <wps:wsp>
                              <wps:cNvPr id="238" name="文本框 2"/>
                              <wps:cNvSpPr txBox="1">
                                <a:spLocks noChangeArrowheads="1"/>
                              </wps:cNvSpPr>
                              <wps:spPr bwMode="auto">
                                <a:xfrm>
                                  <a:off x="2234087" y="267412"/>
                                  <a:ext cx="2208102" cy="273720"/>
                                </a:xfrm>
                                <a:prstGeom prst="rect">
                                  <a:avLst/>
                                </a:prstGeom>
                                <a:noFill/>
                                <a:ln w="9525">
                                  <a:noFill/>
                                  <a:miter lim="800000"/>
                                </a:ln>
                              </wps:spPr>
                              <wps:txbx>
                                <w:txbxContent>
                                  <w:p>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wps:txbx>
                              <wps:bodyPr rot="0" vert="horz" wrap="square" lIns="91440" tIns="45720" rIns="91440" bIns="45720" anchor="t" anchorCtr="0">
                                <a:spAutoFit/>
                              </wps:bodyPr>
                            </wps:wsp>
                            <wps:wsp>
                              <wps:cNvPr id="239" name="连接符: 肘形 60"/>
                              <wps:cNvCnPr/>
                              <wps:spPr>
                                <a:xfrm>
                                  <a:off x="1716657" y="207034"/>
                                  <a:ext cx="517586" cy="196909"/>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wps:wsp>
                              <wps:cNvPr id="240" name="文本框 2"/>
                              <wps:cNvSpPr txBox="1">
                                <a:spLocks noChangeArrowheads="1"/>
                              </wps:cNvSpPr>
                              <wps:spPr bwMode="auto">
                                <a:xfrm>
                                  <a:off x="2242713" y="724601"/>
                                  <a:ext cx="2208102" cy="273720"/>
                                </a:xfrm>
                                <a:prstGeom prst="rect">
                                  <a:avLst/>
                                </a:prstGeom>
                                <a:noFill/>
                                <a:ln w="9525">
                                  <a:noFill/>
                                  <a:miter lim="800000"/>
                                </a:ln>
                              </wps:spPr>
                              <wps:txbx>
                                <w:txbxContent>
                                  <w:p>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wps:txbx>
                              <wps:bodyPr rot="0" vert="horz" wrap="square" lIns="91440" tIns="45720" rIns="91440" bIns="45720" anchor="t" anchorCtr="0">
                                <a:spAutoFit/>
                              </wps:bodyPr>
                            </wps:wsp>
                            <wps:wsp>
                              <wps:cNvPr id="241" name="文本框 2"/>
                              <wps:cNvSpPr txBox="1">
                                <a:spLocks noChangeArrowheads="1"/>
                              </wps:cNvSpPr>
                              <wps:spPr bwMode="auto">
                                <a:xfrm>
                                  <a:off x="2242713" y="957509"/>
                                  <a:ext cx="2208102" cy="273720"/>
                                </a:xfrm>
                                <a:prstGeom prst="rect">
                                  <a:avLst/>
                                </a:prstGeom>
                                <a:noFill/>
                                <a:ln w="9525">
                                  <a:noFill/>
                                  <a:miter lim="800000"/>
                                </a:ln>
                              </wps:spPr>
                              <wps:txbx>
                                <w:txbxContent>
                                  <w:p>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wps:txbx>
                              <wps:bodyPr rot="0" vert="horz" wrap="square" lIns="91440" tIns="45720" rIns="91440" bIns="45720" anchor="t" anchorCtr="0">
                                <a:spAutoFit/>
                              </wps:bodyPr>
                            </wps:wsp>
                          </wpg:grpSp>
                        </wpg:grpSp>
                        <wps:wsp>
                          <wps:cNvPr id="242" name="文本框 2"/>
                          <wps:cNvSpPr txBox="1">
                            <a:spLocks noChangeArrowheads="1"/>
                          </wps:cNvSpPr>
                          <wps:spPr bwMode="auto">
                            <a:xfrm>
                              <a:off x="2242713" y="1199048"/>
                              <a:ext cx="2208102" cy="273721"/>
                            </a:xfrm>
                            <a:prstGeom prst="rect">
                              <a:avLst/>
                            </a:prstGeom>
                            <a:noFill/>
                            <a:ln w="9525">
                              <a:noFill/>
                              <a:miter lim="800000"/>
                            </a:ln>
                          </wps:spPr>
                          <wps:txbx>
                            <w:txbxContent>
                              <w:p>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wps:txbx>
                          <wps:bodyPr rot="0" vert="horz" wrap="square" lIns="91440" tIns="45720" rIns="91440" bIns="45720" anchor="t" anchorCtr="0">
                            <a:spAutoFit/>
                          </wps:bodyPr>
                        </wps:wsp>
                      </wpg:grpSp>
                      <wps:wsp>
                        <wps:cNvPr id="243" name="连接符: 肘形 357"/>
                        <wps:cNvCnPr/>
                        <wps:spPr>
                          <a:xfrm>
                            <a:off x="1449237" y="215660"/>
                            <a:ext cx="784561" cy="422275"/>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s:wsp>
                        <wps:cNvPr id="244" name="连接符: 肘形 358"/>
                        <wps:cNvCnPr/>
                        <wps:spPr>
                          <a:xfrm>
                            <a:off x="1147313" y="207034"/>
                            <a:ext cx="1086719" cy="672860"/>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_x0000_s1026" o:spid="_x0000_s1026" o:spt="203" style="height:115.95pt;width:351.1pt;" coordsize="4459072,1472572" o:gfxdata="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">
                <o:lock v:ext="edit" aspectratio="f"/>
                <v:group id="_x0000_s1026" o:spid="_x0000_s1026" o:spt="203" style="position:absolute;left:0;top:0;height:1472572;width:4459072;" coordsize="4459492,147276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35603;width:4459492;" coordsize="4459492,1335603"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51390;top:500320;height:273720;width:2208102;"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v:textbox>
                    </v:shape>
                    <v:group id="_x0000_s1026" o:spid="_x0000_s1026" o:spt="203" style="position:absolute;left:0;top:0;height:1335603;width:4450815;" coordsize="4450815,133560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254033;width:2208102;" filled="f" stroked="f" coordsize="21600,21600" o:gfxdata="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0vS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v:textbox>
                      </v:shape>
                      <v:shape id="连接符: 肘形 54" o:spid="_x0000_s1026" o:spt="34" type="#_x0000_t34" style="position:absolute;left:215661;top:207034;height:1128569;width:2027207;" filled="f" stroked="t" coordsize="21600,21600" o:gfxdata="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HbEi/&#10;AAAA3AAAAA8AAAAAAAAAAQAgAAAAIgAAAGRycy9kb3ducmV2LnhtbFBLAQIUABQAAAAIAIdO4kAz&#10;LwWeOwAAADkAAAAQAAAAAAAAAAEAIAAAAA4BAABkcnMvc2hhcGV4bWwueG1sUEsFBgAAAAAGAAYA&#10;WwEAALgDAAAAAA==&#10;" adj="45">
                        <v:fill on="f" focussize="0,0"/>
                        <v:stroke weight="0.5pt" color="#000000" miterlimit="8" joinstyle="miter" endarrow="block"/>
                        <v:imagedata o:title=""/>
                        <o:lock v:ext="edit" aspectratio="f"/>
                      </v:shape>
                      <v:shape id="连接符: 肘形 55" o:spid="_x0000_s1026" o:spt="34" type="#_x0000_t34" style="position:absolute;left:655608;top:207034;height:887024;width:1587260;" filled="f" stroked="t" coordsize="21600,21600" o:gfxdata="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DFr&#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34087;top:267412;height:273720;width:2208102;"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v:textbox>
                      </v:shape>
                      <v:shape id="连接符: 肘形 60" o:spid="_x0000_s1026" o:spt="34" type="#_x0000_t34" style="position:absolute;left:1716657;top:207034;height:196909;width:517586;" filled="f" stroked="t" coordsize="21600,21600" o:gfxdata="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wCC&#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42713;top:724601;height:273720;width:2208102;"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v:textbox>
                      </v:shape>
                      <v:shape id="文本框 2" o:spid="_x0000_s1026" o:spt="202" type="#_x0000_t202" style="position:absolute;left:2242713;top:957509;height:273720;width:2208102;"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v:textbox>
                      </v:shape>
                    </v:group>
                  </v:group>
                  <v:shape id="文本框 2" o:spid="_x0000_s1026" o:spt="202" type="#_x0000_t202" style="position:absolute;left:2242713;top:1199048;height:273721;width:2208102;" filled="f" stroked="f" coordsize="21600,21600" o:gfxdata="UEsDBAoAAAAAAIdO4kAAAAAAAAAAAAAAAAAEAAAAZHJzL1BLAwQUAAAACACHTuJAiltWJLwAAADc&#10;AAAADwAAAGRycy9kb3ducmV2LnhtbEWPQUvDQBSE70L/w/IEb3Y3Q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i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v:textbox>
                  </v:shape>
                </v:group>
                <v:shape id="连接符: 肘形 357" o:spid="_x0000_s1026" o:spt="34" type="#_x0000_t34" style="position:absolute;left:1449237;top:215660;height:422275;width:784561;" filled="f" stroked="t" coordsize="21600,21600" o:gfxdata="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qak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v:shape id="连接符: 肘形 358" o:spid="_x0000_s1026" o:spt="34" type="#_x0000_t34" style="position:absolute;left:1147313;top:207034;height:672860;width:1086719;" filled="f" stroked="t" coordsize="21600,21600" o:gfxdata="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7Q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w10:wrap type="none"/>
                <w10:anchorlock/>
              </v:group>
            </w:pict>
          </mc:Fallback>
        </mc:AlternateContent>
      </w:r>
    </w:p>
    <w:p>
      <w:pPr>
        <w:ind w:firstLine="482"/>
        <w:jc w:val="center"/>
        <w:rPr>
          <w:b/>
          <w:snapToGrid/>
          <w:color w:val="000000" w:themeColor="text1"/>
          <w14:textFill>
            <w14:solidFill>
              <w14:schemeClr w14:val="tx1"/>
            </w14:solidFill>
          </w14:textFill>
        </w:rPr>
      </w:pPr>
      <w:bookmarkStart w:id="154" w:name="_Ref103935093"/>
      <w:r>
        <w:rPr>
          <w:rFonts w:hint="eastAsia"/>
          <w:b/>
          <w:snapToGrid/>
          <w:color w:val="000000" w:themeColor="text1"/>
          <w14:textFill>
            <w14:solidFill>
              <w14:schemeClr w14:val="tx1"/>
            </w14:solidFill>
          </w14:textFill>
        </w:rPr>
        <w:t xml:space="preserve">图 </w:t>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STYLEREF 2 \s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rFonts w:hint="eastAsia"/>
          <w:b/>
          <w:snapToGrid/>
          <w:color w:val="000000" w:themeColor="text1"/>
          <w14:textFill>
            <w14:solidFill>
              <w14:schemeClr w14:val="tx1"/>
            </w14:solidFill>
          </w14:textFill>
        </w:rPr>
        <w:fldChar w:fldCharType="end"/>
      </w:r>
      <w:r>
        <w:rPr>
          <w:rFonts w:hint="eastAsia"/>
          <w:b/>
          <w:snapToGrid/>
          <w:color w:val="000000" w:themeColor="text1"/>
          <w14:textFill>
            <w14:solidFill>
              <w14:schemeClr w14:val="tx1"/>
            </w14:solidFill>
          </w14:textFill>
        </w:rPr>
        <w:noBreakHyphen/>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SEQ 图 \* ARABIC \s 2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2</w:t>
      </w:r>
      <w:r>
        <w:rPr>
          <w:rFonts w:hint="eastAsia"/>
          <w:b/>
          <w:snapToGrid/>
          <w:color w:val="000000" w:themeColor="text1"/>
          <w14:textFill>
            <w14:solidFill>
              <w14:schemeClr w14:val="tx1"/>
            </w14:solidFill>
          </w14:textFill>
        </w:rPr>
        <w:fldChar w:fldCharType="end"/>
      </w:r>
      <w:bookmarkEnd w:id="154"/>
      <w:r>
        <w:rPr>
          <w:b/>
          <w:snapToGrid/>
          <w:color w:val="000000" w:themeColor="text1"/>
          <w14:textFill>
            <w14:solidFill>
              <w14:schemeClr w14:val="tx1"/>
            </w14:solidFill>
          </w14:textFill>
        </w:rPr>
        <w:t xml:space="preserve">    </w:t>
      </w:r>
      <w:r>
        <w:rPr>
          <w:rFonts w:hint="eastAsia"/>
          <w:b/>
          <w:snapToGrid/>
          <w:color w:val="000000" w:themeColor="text1"/>
          <w14:textFill>
            <w14:solidFill>
              <w14:schemeClr w14:val="tx1"/>
            </w14:solidFill>
          </w14:textFill>
        </w:rPr>
        <w:t>入河（海）排污口编码结构示意图</w:t>
      </w:r>
    </w:p>
    <w:p>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编码规则见</w:t>
      </w:r>
      <w:r>
        <w:rPr>
          <w:rFonts w:hint="eastAsia" w:cs="Times New Roman"/>
          <w:color w:val="000000" w:themeColor="text1"/>
          <w14:textFill>
            <w14:solidFill>
              <w14:schemeClr w14:val="tx1"/>
            </w14:solidFill>
          </w14:textFill>
        </w:rPr>
        <w:t>《入河（海）排污口命名与编码规则》（HJ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）相关规定。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排污口责任主体</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监管主体和监督电话。</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各地可视情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增加其他信息，如排污口执行的排放标准、排水去向、所在水系示意图等。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二维码</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鼓励各地开发二维码举报投诉功能，具备拍照上传功能并与地方有关网络举报平台关联，便于公众在发现排污口排水水色异常、气味异常或排入水体附近出现死鱼等情况时，及时通过二维码反映情况。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材料</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颜色</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立柱式和平面固定式标志牌面颜色可选用蓝色、绿色（参考色样可查询发布文件)，图形标志和文字可选用白色。</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墩式标志牌面可选用材料原色，图形标志和文字颜色可根据实际情况确定。</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尺寸</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标志牌面为横纵比大于1的矩形。原则上，立柱式和平面固定式标志牌面尺寸不小于640mm×400mm，墩式不小于480mm×300mm。各地可根据设置原则视情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确定尺寸大小。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制作管理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制作和日常维护中，应注意标志牌无明显变形，表面无气泡、开裂、脱落及其他破损，图案清晰，色泽一致，无明显缺损。标志牌面例图、二维码关联信息例图（可查询发布文件，仅供参考）。</w:t>
      </w:r>
    </w:p>
    <w:p>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42"/>
        <w:ind w:left="0" w:firstLine="0"/>
        <w:rPr>
          <w:color w:val="000000" w:themeColor="text1"/>
          <w14:textFill>
            <w14:solidFill>
              <w14:schemeClr w14:val="tx1"/>
            </w14:solidFill>
          </w14:textFill>
        </w:rPr>
      </w:pPr>
      <w:bookmarkStart w:id="155" w:name="_Toc184805930"/>
      <w:bookmarkStart w:id="156" w:name="_Toc7537"/>
      <w:bookmarkStart w:id="157" w:name="_Toc28595"/>
      <w:bookmarkStart w:id="158" w:name="_Toc16807"/>
      <w:bookmarkStart w:id="159" w:name="_Toc32221"/>
      <w:bookmarkStart w:id="160" w:name="_Toc289926490"/>
      <w:bookmarkStart w:id="161" w:name="_Toc289930725"/>
      <w:bookmarkStart w:id="162" w:name="_Toc257224218"/>
      <w:bookmarkStart w:id="163" w:name="_Toc301373868"/>
      <w:bookmarkStart w:id="164" w:name="_Toc339613711"/>
      <w:r>
        <w:rPr>
          <w:color w:val="000000" w:themeColor="text1"/>
          <w14:textFill>
            <w14:solidFill>
              <w14:schemeClr w14:val="tx1"/>
            </w14:solidFill>
          </w14:textFill>
        </w:rPr>
        <w:t>入河排污口设置合理性分析</w:t>
      </w:r>
      <w:bookmarkEnd w:id="155"/>
      <w:bookmarkEnd w:id="156"/>
      <w:bookmarkEnd w:id="157"/>
      <w:bookmarkEnd w:id="158"/>
      <w:bookmarkEnd w:id="159"/>
    </w:p>
    <w:p>
      <w:pPr>
        <w:pStyle w:val="3"/>
        <w:rPr>
          <w:color w:val="000000" w:themeColor="text1"/>
          <w14:textFill>
            <w14:solidFill>
              <w14:schemeClr w14:val="tx1"/>
            </w14:solidFill>
          </w14:textFill>
        </w:rPr>
      </w:pPr>
      <w:bookmarkStart w:id="165" w:name="_Toc10723"/>
      <w:bookmarkStart w:id="166" w:name="_Toc332925433"/>
      <w:bookmarkStart w:id="167" w:name="_Toc345680715"/>
      <w:bookmarkStart w:id="168" w:name="_Toc282543531"/>
      <w:bookmarkStart w:id="169" w:name="_Toc341258283"/>
      <w:r>
        <w:rPr>
          <w:rFonts w:hint="eastAsia"/>
          <w:color w:val="000000" w:themeColor="text1"/>
          <w14:textFill>
            <w14:solidFill>
              <w14:schemeClr w14:val="tx1"/>
            </w14:solidFill>
          </w14:textFill>
        </w:rPr>
        <w:t xml:space="preserve"> </w:t>
      </w:r>
      <w:bookmarkStart w:id="170" w:name="_Toc184805931"/>
      <w:r>
        <w:rPr>
          <w:color w:val="000000" w:themeColor="text1"/>
          <w14:textFill>
            <w14:solidFill>
              <w14:schemeClr w14:val="tx1"/>
            </w14:solidFill>
          </w14:textFill>
        </w:rPr>
        <w:t>入河排污口位置合理性分析</w:t>
      </w:r>
      <w:bookmarkEnd w:id="165"/>
      <w:bookmarkEnd w:id="170"/>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入河排污口</w:t>
      </w:r>
      <w:r>
        <w:rPr>
          <w:rFonts w:hint="eastAsia"/>
          <w:color w:val="000000" w:themeColor="text1"/>
          <w14:textFill>
            <w14:solidFill>
              <w14:schemeClr w14:val="tx1"/>
            </w14:solidFill>
          </w14:textFill>
        </w:rPr>
        <w:t>位于诸佛江右岸，</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南侧小溪沟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尾水经</w:t>
      </w:r>
      <w:r>
        <w:rPr>
          <w:color w:val="000000" w:themeColor="text1"/>
          <w14:textFill>
            <w14:solidFill>
              <w14:schemeClr w14:val="tx1"/>
            </w14:solidFill>
          </w14:textFill>
        </w:rPr>
        <w:t>10k</w:t>
      </w:r>
      <w:r>
        <w:rPr>
          <w:rFonts w:hint="eastAsia"/>
          <w:color w:val="000000" w:themeColor="text1"/>
          <w14:textFill>
            <w14:solidFill>
              <w14:schemeClr w14:val="tx1"/>
            </w14:solidFill>
          </w14:textFill>
        </w:rPr>
        <w:t>m小溪沟排入诸佛江</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“诸佛江诸佛鹿角景观娱乐用水区”的</w:t>
      </w:r>
      <w:r>
        <w:rPr>
          <w:color w:val="000000" w:themeColor="text1"/>
          <w14:textFill>
            <w14:solidFill>
              <w14:schemeClr w14:val="tx1"/>
            </w14:solidFill>
          </w14:textFill>
        </w:rPr>
        <w:t>二级水功能区内，符合该水功能区功能定位对排污口设置的要求；根据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和资料查阅，该水功能区内</w:t>
      </w:r>
      <w:r>
        <w:rPr>
          <w:rFonts w:hint="eastAsia"/>
          <w:color w:val="000000" w:themeColor="text1"/>
          <w14:textFill>
            <w14:solidFill>
              <w14:schemeClr w14:val="tx1"/>
            </w14:solidFill>
          </w14:textFill>
        </w:rPr>
        <w:t>没有取水口</w:t>
      </w:r>
      <w:r>
        <w:rPr>
          <w:color w:val="000000" w:themeColor="text1"/>
          <w14:textFill>
            <w14:solidFill>
              <w14:schemeClr w14:val="tx1"/>
            </w14:solidFill>
          </w14:textFill>
        </w:rPr>
        <w:t>；区域内无濒危水生生物及鱼类资源，无重要生物栖息地、繁殖地（产卵场）和迁徙（洄游）通道等，不存在相关因素的限制。</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因此，本项目污水排放采用岸边式就近排放，其入河排污口位置是合理的。</w:t>
      </w:r>
    </w:p>
    <w:p>
      <w:pPr>
        <w:pStyle w:val="3"/>
        <w:rPr>
          <w:color w:val="000000" w:themeColor="text1"/>
          <w14:textFill>
            <w14:solidFill>
              <w14:schemeClr w14:val="tx1"/>
            </w14:solidFill>
          </w14:textFill>
        </w:rPr>
      </w:pPr>
      <w:bookmarkStart w:id="171" w:name="_Toc184805932"/>
      <w:bookmarkStart w:id="172" w:name="_Toc5037"/>
      <w:r>
        <w:rPr>
          <w:rFonts w:hint="eastAsia"/>
          <w:color w:val="000000" w:themeColor="text1"/>
          <w14:textFill>
            <w14:solidFill>
              <w14:schemeClr w14:val="tx1"/>
            </w14:solidFill>
          </w14:textFill>
        </w:rPr>
        <w:t>选址合理性分析</w:t>
      </w:r>
      <w:bookmarkEnd w:id="171"/>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大同镇污水处理厂位于彭水苗族土家族自治县大同镇中心场镇</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属于环境保护公共设施，是对城镇污水进行集中收集和处理，其建设有利于地表水水质的改善和保护。项目</w:t>
      </w:r>
      <w:r>
        <w:rPr>
          <w:rFonts w:hint="eastAsia" w:hAnsi="宋体"/>
          <w:bCs/>
          <w:iCs/>
          <w:color w:val="000000" w:themeColor="text1"/>
          <w14:textFill>
            <w14:solidFill>
              <w14:schemeClr w14:val="tx1"/>
            </w14:solidFill>
          </w14:textFill>
        </w:rPr>
        <w:t>占地面积为</w:t>
      </w:r>
      <w:r>
        <w:rPr>
          <w:iCs/>
          <w:color w:val="000000" w:themeColor="text1"/>
          <w14:textFill>
            <w14:solidFill>
              <w14:schemeClr w14:val="tx1"/>
            </w14:solidFill>
          </w14:textFill>
        </w:rPr>
        <w:t>655.56</w:t>
      </w:r>
      <w:r>
        <w:rPr>
          <w:rFonts w:hint="eastAsia" w:hAnsi="宋体"/>
          <w:bCs/>
          <w:iCs/>
          <w:color w:val="000000" w:themeColor="text1"/>
          <w14:textFill>
            <w14:solidFill>
              <w14:schemeClr w14:val="tx1"/>
            </w14:solidFill>
          </w14:textFill>
        </w:rPr>
        <w:t>m</w:t>
      </w:r>
      <w:r>
        <w:rPr>
          <w:rFonts w:hint="eastAsia" w:hAnsi="宋体"/>
          <w:bCs/>
          <w:iCs/>
          <w:color w:val="000000" w:themeColor="text1"/>
          <w:vertAlign w:val="superscript"/>
          <w14:textFill>
            <w14:solidFill>
              <w14:schemeClr w14:val="tx1"/>
            </w14:solidFill>
          </w14:textFill>
        </w:rPr>
        <w:t>2</w:t>
      </w:r>
      <w:r>
        <w:rPr>
          <w:rFonts w:hint="eastAsia" w:hAnsi="宋体"/>
          <w:bCs/>
          <w:iCs/>
          <w:color w:val="000000" w:themeColor="text1"/>
          <w14:textFill>
            <w14:solidFill>
              <w14:schemeClr w14:val="tx1"/>
            </w14:solidFill>
          </w14:textFill>
        </w:rPr>
        <w:t>，</w:t>
      </w:r>
      <w:r>
        <w:rPr>
          <w:color w:val="000000" w:themeColor="text1"/>
          <w14:textFill>
            <w14:solidFill>
              <w14:schemeClr w14:val="tx1"/>
            </w14:solidFill>
          </w14:textFill>
        </w:rPr>
        <w:t>紧邻村道，交通方便，周边水、电基础设施齐全，方便引入。本项目所在地大气、地表水、地下水和声环境质量皆满足相应标准，无限制因素。本项目的建设将减少直接排入地表水体的污废水量，从而削减水污染物的排放量，改善诸佛江的水质，属于环境正效益项目</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项目所在位置不涉及自然保护区、风景名胜区和饮用水源保护区等特殊保护地。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因此，从环境保护角度考虑，本项目污水处理厂选址合理可行</w:t>
      </w:r>
      <w:r>
        <w:rPr>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173" w:name="_Toc184805933"/>
      <w:r>
        <w:rPr>
          <w:rFonts w:hint="eastAsia"/>
          <w:color w:val="000000" w:themeColor="text1"/>
          <w14:textFill>
            <w14:solidFill>
              <w14:schemeClr w14:val="tx1"/>
            </w14:solidFill>
          </w14:textFill>
        </w:rPr>
        <w:t>排污口设置合理性分析</w:t>
      </w:r>
      <w:bookmarkEnd w:id="173"/>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河排污口设置于厂区南侧（</w:t>
      </w:r>
      <w:r>
        <w:rPr>
          <w:rFonts w:hint="eastAsia"/>
          <w:color w:val="000000" w:themeColor="text1"/>
          <w:spacing w:val="-13"/>
          <w14:textFill>
            <w14:solidFill>
              <w14:schemeClr w14:val="tx1"/>
            </w14:solidFill>
          </w14:textFill>
        </w:rPr>
        <w:t>东经：108.517681°，北纬：29.336179°</w:t>
      </w:r>
      <w:r>
        <w:rPr>
          <w:rFonts w:hint="eastAsia"/>
          <w:color w:val="000000" w:themeColor="text1"/>
          <w14:textFill>
            <w14:solidFill>
              <w14:schemeClr w14:val="tx1"/>
            </w14:solidFill>
          </w14:textFill>
        </w:rPr>
        <w:t>），诸佛江支流小溪沟右岸。</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w:t>
      </w:r>
      <w:r>
        <w:rPr>
          <w:color w:val="000000" w:themeColor="text1"/>
          <w:spacing w:val="-2"/>
          <w14:textFill>
            <w14:solidFill>
              <w14:schemeClr w14:val="tx1"/>
            </w14:solidFill>
          </w14:textFill>
        </w:rPr>
        <w:t>本排污口</w:t>
      </w:r>
      <w:r>
        <w:rPr>
          <w:rFonts w:hint="eastAsia"/>
          <w:color w:val="000000" w:themeColor="text1"/>
          <w:spacing w:val="-2"/>
          <w14:textFill>
            <w14:solidFill>
              <w14:schemeClr w14:val="tx1"/>
            </w14:solidFill>
          </w14:textFill>
        </w:rPr>
        <w:t>设置</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“诸佛江诸佛鹿角景观娱乐用水区”的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，功能区内没有取水口</w:t>
      </w:r>
      <w:r>
        <w:rPr>
          <w:color w:val="000000" w:themeColor="text1"/>
          <w14:textFill>
            <w14:solidFill>
              <w14:schemeClr w14:val="tx1"/>
            </w14:solidFill>
          </w14:textFill>
        </w:rPr>
        <w:t>。同时，经论证，本项目尾水排放对</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水质影响较小。由于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w:t>
      </w:r>
      <w:r>
        <w:rPr>
          <w:rFonts w:hint="eastAsia" w:cs="Times New Roman"/>
          <w:color w:val="000000" w:themeColor="text1"/>
          <w14:textFill>
            <w14:solidFill>
              <w14:schemeClr w14:val="tx1"/>
            </w14:solidFill>
          </w14:textFill>
        </w:rPr>
        <w:t>生活</w:t>
      </w:r>
      <w:r>
        <w:rPr>
          <w:rFonts w:cs="Times New Roman"/>
          <w:color w:val="000000" w:themeColor="text1"/>
          <w14:textFill>
            <w14:solidFill>
              <w14:schemeClr w14:val="tx1"/>
            </w14:solidFill>
          </w14:textFill>
        </w:rPr>
        <w:t>污水入河排污口</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采用岸边</w:t>
      </w:r>
      <w:r>
        <w:rPr>
          <w:rFonts w:hint="eastAsia"/>
          <w:color w:val="000000" w:themeColor="text1"/>
          <w14:textFill>
            <w14:solidFill>
              <w14:schemeClr w14:val="tx1"/>
            </w14:solidFill>
          </w14:textFill>
        </w:rPr>
        <w:t>管道连续</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受纳水体</w:t>
      </w:r>
      <w:r>
        <w:rPr>
          <w:color w:val="000000" w:themeColor="text1"/>
          <w14:textFill>
            <w14:solidFill>
              <w14:schemeClr w14:val="tx1"/>
            </w14:solidFill>
          </w14:textFill>
        </w:rPr>
        <w:t>后可迅速与河水混合均匀。</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综上所述，本项目排污口的选址合理可行。</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74" w:name="_Toc184805934"/>
      <w:r>
        <w:rPr>
          <w:color w:val="000000" w:themeColor="text1"/>
          <w14:textFill>
            <w14:solidFill>
              <w14:schemeClr w14:val="tx1"/>
            </w14:solidFill>
          </w14:textFill>
        </w:rPr>
        <w:t>排放浓度合理性分析</w:t>
      </w:r>
      <w:bookmarkEnd w:id="172"/>
      <w:bookmarkEnd w:id="174"/>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AO+化学除磷+消毒</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-N、TN、TP的总去除率分别可达83%、90%、90%、88%、73%、80%，去除率总体较高，其出水水质均能达到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本项目正常工况下排放的废水对受纳水体水质影响小，无超标现象。在非正常工况下排放的</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对诸佛江有一定影响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对此，污水处理厂在日常运营应加强安全监管，防止事故发生。项目</w:t>
      </w:r>
      <w:r>
        <w:rPr>
          <w:color w:val="000000" w:themeColor="text1"/>
          <w14:textFill>
            <w14:solidFill>
              <w14:schemeClr w14:val="tx1"/>
            </w14:solidFill>
          </w14:textFill>
        </w:rPr>
        <w:t>论证</w:t>
      </w:r>
      <w:r>
        <w:rPr>
          <w:rFonts w:hint="eastAsia"/>
          <w:color w:val="000000" w:themeColor="text1"/>
          <w14:textFill>
            <w14:solidFill>
              <w14:schemeClr w14:val="tx1"/>
            </w14:solidFill>
          </w14:textFill>
        </w:rPr>
        <w:t>范围为“诸佛江诸佛鹿角景观娱乐用水区”的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，非</w:t>
      </w:r>
      <w:r>
        <w:rPr>
          <w:color w:val="000000" w:themeColor="text1"/>
          <w14:textFill>
            <w14:solidFill>
              <w14:schemeClr w14:val="tx1"/>
            </w14:solidFill>
          </w14:textFill>
        </w:rPr>
        <w:t>正常工况下对水生态有一定影响，但影响有限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不会对第三方合法水事权益造成影响。</w:t>
      </w:r>
    </w:p>
    <w:p>
      <w:pPr>
        <w:pStyle w:val="3"/>
        <w:rPr>
          <w:color w:val="000000" w:themeColor="text1"/>
          <w14:textFill>
            <w14:solidFill>
              <w14:schemeClr w14:val="tx1"/>
            </w14:solidFill>
          </w14:textFill>
        </w:rPr>
      </w:pPr>
      <w:bookmarkStart w:id="175" w:name="_Toc620"/>
      <w:r>
        <w:rPr>
          <w:rFonts w:hint="eastAsia"/>
          <w:color w:val="000000" w:themeColor="text1"/>
          <w14:textFill>
            <w14:solidFill>
              <w14:schemeClr w14:val="tx1"/>
            </w14:solidFill>
          </w14:textFill>
        </w:rPr>
        <w:t xml:space="preserve"> </w:t>
      </w:r>
      <w:bookmarkStart w:id="176" w:name="_Toc184805935"/>
      <w:r>
        <w:rPr>
          <w:color w:val="000000" w:themeColor="text1"/>
          <w14:textFill>
            <w14:solidFill>
              <w14:schemeClr w14:val="tx1"/>
            </w14:solidFill>
          </w14:textFill>
        </w:rPr>
        <w:t>排放总量合理性分析</w:t>
      </w:r>
      <w:bookmarkEnd w:id="175"/>
      <w:bookmarkEnd w:id="176"/>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本项目正常工况排放时，在叠加现状污染物入河量后，COD、NH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超出水功能区纳污能力。而本项目采用</w:t>
      </w:r>
      <w:r>
        <w:rPr>
          <w:rFonts w:hint="eastAsia"/>
          <w:color w:val="000000" w:themeColor="text1"/>
          <w14:textFill>
            <w14:solidFill>
              <w14:schemeClr w14:val="tx1"/>
            </w14:solidFill>
          </w14:textFill>
        </w:rPr>
        <w:t>：</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AO+化学除磷+消毒</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工艺，有良好的处理效率，排放废水能够达到《城镇污水处理厂污染物排放标准》（GB 18918-2002）一级B标准，项目建成后COD、NH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-N排污量分别减少</w:t>
      </w:r>
      <w:r>
        <w:rPr>
          <w:rFonts w:cs="Times New Roman"/>
          <w:color w:val="000000" w:themeColor="text1"/>
          <w14:textFill>
            <w14:solidFill>
              <w14:schemeClr w14:val="tx1"/>
            </w14:solidFill>
          </w14:textFill>
        </w:rPr>
        <w:t>26.465</w:t>
      </w:r>
      <w:r>
        <w:rPr>
          <w:color w:val="000000" w:themeColor="text1"/>
          <w14:textFill>
            <w14:solidFill>
              <w14:schemeClr w14:val="tx1"/>
            </w14:solidFill>
          </w14:textFill>
        </w:rPr>
        <w:t>t/a、</w:t>
      </w:r>
      <w:r>
        <w:rPr>
          <w:rFonts w:cs="Times New Roman"/>
          <w:color w:val="000000" w:themeColor="text1"/>
          <w14:textFill>
            <w14:solidFill>
              <w14:schemeClr w14:val="tx1"/>
            </w14:solidFill>
          </w14:textFill>
        </w:rPr>
        <w:t>3.38</w:t>
      </w:r>
      <w:r>
        <w:rPr>
          <w:color w:val="000000" w:themeColor="text1"/>
          <w14:textFill>
            <w14:solidFill>
              <w14:schemeClr w14:val="tx1"/>
            </w14:solidFill>
          </w14:textFill>
        </w:rPr>
        <w:t>t/a，消减率分别可达83%、88%。</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综上所述，本项目建成运行后，</w:t>
      </w:r>
      <w:r>
        <w:rPr>
          <w:rFonts w:hint="eastAsia"/>
          <w:color w:val="000000" w:themeColor="text1"/>
          <w14:textFill>
            <w14:solidFill>
              <w14:schemeClr w14:val="tx1"/>
            </w14:solidFill>
          </w14:textFill>
        </w:rPr>
        <w:t>大同镇场镇片区</w:t>
      </w:r>
      <w:r>
        <w:rPr>
          <w:rFonts w:hint="eastAsia" w:hAnsi="宋体"/>
          <w:color w:val="000000" w:themeColor="text1"/>
          <w14:textFill>
            <w14:solidFill>
              <w14:schemeClr w14:val="tx1"/>
            </w14:solidFill>
          </w14:textFill>
        </w:rPr>
        <w:t>产生的废污水</w:t>
      </w:r>
      <w:r>
        <w:rPr>
          <w:rFonts w:hAnsi="宋体"/>
          <w:color w:val="000000" w:themeColor="text1"/>
          <w14:textFill>
            <w14:solidFill>
              <w14:schemeClr w14:val="tx1"/>
            </w14:solidFill>
          </w14:textFill>
        </w:rPr>
        <w:t>得以更为有效的处理</w:t>
      </w:r>
      <w:r>
        <w:rPr>
          <w:color w:val="000000" w:themeColor="text1"/>
          <w14:textFill>
            <w14:solidFill>
              <w14:schemeClr w14:val="tx1"/>
            </w14:solidFill>
          </w14:textFill>
        </w:rPr>
        <w:t>，改善</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当地居民生活环境，污染物排放量大幅度减少，减少了未处理污水直接排放对</w:t>
      </w:r>
      <w:r>
        <w:rPr>
          <w:rFonts w:hint="eastAsia"/>
          <w:color w:val="000000" w:themeColor="text1"/>
          <w14:textFill>
            <w14:solidFill>
              <w14:schemeClr w14:val="tx1"/>
            </w14:solidFill>
          </w14:textFill>
        </w:rPr>
        <w:t>诸佛江支流小溪沟和诸佛江</w:t>
      </w:r>
      <w:r>
        <w:rPr>
          <w:color w:val="000000" w:themeColor="text1"/>
          <w14:textFill>
            <w14:solidFill>
              <w14:schemeClr w14:val="tx1"/>
            </w14:solidFill>
          </w14:textFill>
        </w:rPr>
        <w:t>的影响，进而减小对</w:t>
      </w:r>
      <w:r>
        <w:rPr>
          <w:rFonts w:hint="eastAsia"/>
          <w:color w:val="000000" w:themeColor="text1"/>
          <w14:textFill>
            <w14:solidFill>
              <w14:schemeClr w14:val="tx1"/>
            </w14:solidFill>
          </w14:textFill>
        </w:rPr>
        <w:t>下游</w:t>
      </w:r>
      <w:r>
        <w:rPr>
          <w:color w:val="000000" w:themeColor="text1"/>
          <w14:textFill>
            <w14:solidFill>
              <w14:schemeClr w14:val="tx1"/>
            </w14:solidFill>
          </w14:textFill>
        </w:rPr>
        <w:t>水质的影响，本项目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对区域污染物入河量具有明显的消减作用。</w:t>
      </w:r>
    </w:p>
    <w:bookmarkEnd w:id="160"/>
    <w:bookmarkEnd w:id="161"/>
    <w:bookmarkEnd w:id="162"/>
    <w:bookmarkEnd w:id="163"/>
    <w:bookmarkEnd w:id="164"/>
    <w:bookmarkEnd w:id="166"/>
    <w:bookmarkEnd w:id="167"/>
    <w:bookmarkEnd w:id="168"/>
    <w:bookmarkEnd w:id="169"/>
    <w:p>
      <w:pPr>
        <w:pStyle w:val="42"/>
        <w:keepNext w:val="0"/>
        <w:autoSpaceDE w:val="0"/>
        <w:autoSpaceDN w:val="0"/>
        <w:textAlignment w:val="baseline"/>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77" w:name="_Toc384284405"/>
      <w:bookmarkStart w:id="178" w:name="_Toc339613712"/>
      <w:bookmarkStart w:id="179" w:name="_Toc256003093"/>
      <w:bookmarkStart w:id="180" w:name="_Toc377919021"/>
      <w:bookmarkStart w:id="181" w:name="_Toc467139933"/>
      <w:bookmarkStart w:id="182" w:name="_Toc301373869"/>
      <w:bookmarkStart w:id="183" w:name="_Toc257224219"/>
      <w:bookmarkStart w:id="184" w:name="_Toc384284191"/>
      <w:bookmarkStart w:id="185" w:name="_Toc245731831"/>
      <w:bookmarkStart w:id="186" w:name="_Toc104903755"/>
      <w:bookmarkStart w:id="187" w:name="_Toc389224701"/>
      <w:bookmarkStart w:id="188" w:name="_Toc26153"/>
      <w:bookmarkStart w:id="189" w:name="_Toc289930726"/>
      <w:bookmarkStart w:id="190" w:name="_Toc289926491"/>
    </w:p>
    <w:p>
      <w:pPr>
        <w:pStyle w:val="42"/>
        <w:ind w:left="0" w:firstLine="0"/>
        <w:rPr>
          <w:color w:val="000000" w:themeColor="text1"/>
          <w14:textFill>
            <w14:solidFill>
              <w14:schemeClr w14:val="tx1"/>
            </w14:solidFill>
          </w14:textFill>
        </w:rPr>
      </w:pPr>
      <w:bookmarkStart w:id="191" w:name="_Toc184805936"/>
      <w:r>
        <w:rPr>
          <w:color w:val="000000" w:themeColor="text1"/>
          <w14:textFill>
            <w14:solidFill>
              <w14:schemeClr w14:val="tx1"/>
            </w14:solidFill>
          </w14:textFill>
        </w:rPr>
        <w:t>结论</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3"/>
        <w:rPr>
          <w:color w:val="000000" w:themeColor="text1"/>
          <w14:textFill>
            <w14:solidFill>
              <w14:schemeClr w14:val="tx1"/>
            </w14:solidFill>
          </w14:textFill>
        </w:rPr>
      </w:pPr>
      <w:bookmarkStart w:id="192" w:name="_Toc184805937"/>
      <w:r>
        <w:rPr>
          <w:rFonts w:hint="eastAsia"/>
          <w:color w:val="000000" w:themeColor="text1"/>
          <w14:textFill>
            <w14:solidFill>
              <w14:schemeClr w14:val="tx1"/>
            </w14:solidFill>
          </w14:textFill>
        </w:rPr>
        <w:t>结论</w:t>
      </w:r>
      <w:bookmarkEnd w:id="192"/>
    </w:p>
    <w:p>
      <w:pPr>
        <w:ind w:firstLine="480"/>
        <w:rPr>
          <w:rFonts w:cs="Times New Roman"/>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诸佛江右岸，</w:t>
      </w:r>
      <w:r>
        <w:rPr>
          <w:color w:val="000000" w:themeColor="text1"/>
          <w14:textFill>
            <w14:solidFill>
              <w14:schemeClr w14:val="tx1"/>
            </w14:solidFill>
          </w14:textFill>
        </w:rPr>
        <w:t>厂区南侧小溪沟</w:t>
      </w:r>
      <w:r>
        <w:rPr>
          <w:rFonts w:cs="Times New Roman"/>
          <w:color w:val="000000" w:themeColor="text1"/>
          <w14:textFill>
            <w14:solidFill>
              <w14:schemeClr w14:val="tx1"/>
            </w14:solidFill>
          </w14:textFill>
        </w:rPr>
        <w:t>，地理坐标：东经：108.517681°，北纬：29.336179°，该排污口属于新建排污口，类型为</w:t>
      </w:r>
      <w:r>
        <w:rPr>
          <w:color w:val="000000" w:themeColor="text1"/>
          <w14:textFill>
            <w14:solidFill>
              <w14:schemeClr w14:val="tx1"/>
            </w14:solidFill>
          </w14:textFill>
        </w:rPr>
        <w:t>城镇污水处理设施入河排污口</w:t>
      </w:r>
      <w:r>
        <w:rPr>
          <w:rFonts w:cs="Times New Roman"/>
          <w:color w:val="000000" w:themeColor="text1"/>
          <w14:textFill>
            <w14:solidFill>
              <w14:schemeClr w14:val="tx1"/>
            </w14:solidFill>
          </w14:textFill>
        </w:rPr>
        <w:t>，排放方式为连续排放。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规模到250m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/d，出水水质达《城镇污水处理厂污染物排放标准》（GB 18918-2002）一级B</w:t>
      </w:r>
      <w:r>
        <w:rPr>
          <w:rFonts w:hint="eastAsia"/>
          <w:color w:val="000000" w:themeColor="text1"/>
          <w14:textFill>
            <w14:solidFill>
              <w14:schemeClr w14:val="tx1"/>
            </w14:solidFill>
          </w14:textFill>
        </w:rPr>
        <w:t>标</w:t>
      </w:r>
      <w:r>
        <w:rPr>
          <w:color w:val="000000" w:themeColor="text1"/>
          <w:lang w:val="zh-CN"/>
          <w14:textFill>
            <w14:solidFill>
              <w14:schemeClr w14:val="tx1"/>
            </w14:solidFill>
          </w14:textFill>
        </w:rPr>
        <w:t>后排至</w:t>
      </w:r>
      <w:r>
        <w:rPr>
          <w:rFonts w:hint="eastAsia"/>
          <w:color w:val="000000" w:themeColor="text1"/>
          <w:lang w:val="zh-CN"/>
          <w14:textFill>
            <w14:solidFill>
              <w14:schemeClr w14:val="tx1"/>
            </w14:solidFill>
          </w14:textFill>
        </w:rPr>
        <w:t>小溪沟后再排入诸佛江</w:t>
      </w:r>
      <w:r>
        <w:rPr>
          <w:color w:val="000000" w:themeColor="text1"/>
          <w:lang w:val="zh-CN"/>
          <w14:textFill>
            <w14:solidFill>
              <w14:schemeClr w14:val="tx1"/>
            </w14:solidFill>
          </w14:textFill>
        </w:rPr>
        <w:t>，年污水排放总量</w:t>
      </w:r>
      <w:r>
        <w:rPr>
          <w:color w:val="000000" w:themeColor="text1"/>
          <w14:textFill>
            <w14:solidFill>
              <w14:schemeClr w14:val="tx1"/>
            </w14:solidFill>
          </w14:textFill>
        </w:rPr>
        <w:t>9.125</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-N排放浓度分别为60mg/L、8mg/L，排放量分别为5.475t/a、0.73t/a。</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正常工况排污入河后可满足所在水功能区水质管理目标，减轻了污染物直接进入</w:t>
      </w:r>
      <w:r>
        <w:rPr>
          <w:rFonts w:hint="eastAsia"/>
          <w:color w:val="000000" w:themeColor="text1"/>
          <w14:textFill>
            <w14:solidFill>
              <w14:schemeClr w14:val="tx1"/>
            </w14:solidFill>
          </w14:textFill>
        </w:rPr>
        <w:t>诸佛江</w:t>
      </w:r>
      <w:r>
        <w:rPr>
          <w:color w:val="000000" w:themeColor="text1"/>
          <w14:textFill>
            <w14:solidFill>
              <w14:schemeClr w14:val="tx1"/>
            </w14:solidFill>
          </w14:textFill>
        </w:rPr>
        <w:t>对水质的影响。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大同镇污水处理厂</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AO+化学除磷+消毒</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工艺，有良好的处理效率，大</w:t>
      </w:r>
      <w:r>
        <w:rPr>
          <w:rFonts w:hint="eastAsia"/>
          <w:color w:val="000000" w:themeColor="text1"/>
          <w14:textFill>
            <w14:solidFill>
              <w14:schemeClr w14:val="tx1"/>
            </w14:solidFill>
          </w14:textFill>
        </w:rPr>
        <w:t>大</w:t>
      </w:r>
      <w:r>
        <w:rPr>
          <w:color w:val="000000" w:themeColor="text1"/>
          <w14:textFill>
            <w14:solidFill>
              <w14:schemeClr w14:val="tx1"/>
            </w14:solidFill>
          </w14:textFill>
        </w:rPr>
        <w:t>削减</w:t>
      </w:r>
      <w:r>
        <w:rPr>
          <w:rFonts w:hint="eastAsia"/>
          <w:color w:val="000000" w:themeColor="text1"/>
          <w14:textFill>
            <w14:solidFill>
              <w14:schemeClr w14:val="tx1"/>
            </w14:solidFill>
          </w14:textFill>
        </w:rPr>
        <w:t>彭水苗族土家族自治县大同镇中心场镇生活污水</w:t>
      </w:r>
      <w:r>
        <w:rPr>
          <w:color w:val="000000" w:themeColor="text1"/>
          <w14:textFill>
            <w14:solidFill>
              <w14:schemeClr w14:val="tx1"/>
            </w14:solidFill>
          </w14:textFill>
        </w:rPr>
        <w:t>污染物外排量，符合行政主管部门对污染物排放的要求。</w:t>
      </w:r>
      <w:bookmarkStart w:id="193" w:name="_Toc467139934"/>
      <w:bookmarkStart w:id="194" w:name="_Toc384284406"/>
      <w:bookmarkStart w:id="195" w:name="_Toc1413"/>
      <w:bookmarkStart w:id="196" w:name="_Toc384284192"/>
      <w:bookmarkStart w:id="197" w:name="_Toc104903756"/>
      <w:bookmarkStart w:id="198" w:name="_Toc389224702"/>
    </w:p>
    <w:p>
      <w:pPr>
        <w:pStyle w:val="3"/>
        <w:rPr>
          <w:color w:val="000000" w:themeColor="text1"/>
          <w14:textFill>
            <w14:solidFill>
              <w14:schemeClr w14:val="tx1"/>
            </w14:solidFill>
          </w14:textFill>
        </w:rPr>
      </w:pPr>
      <w:bookmarkStart w:id="199" w:name="_Toc184805938"/>
      <w:r>
        <w:rPr>
          <w:color w:val="000000" w:themeColor="text1"/>
          <w14:textFill>
            <w14:solidFill>
              <w14:schemeClr w14:val="tx1"/>
            </w14:solidFill>
          </w14:textFill>
        </w:rPr>
        <w:t>建议</w:t>
      </w:r>
      <w:bookmarkEnd w:id="193"/>
      <w:bookmarkEnd w:id="194"/>
      <w:bookmarkEnd w:id="195"/>
      <w:bookmarkEnd w:id="196"/>
      <w:bookmarkEnd w:id="197"/>
      <w:bookmarkEnd w:id="198"/>
      <w:bookmarkEnd w:id="199"/>
    </w:p>
    <w:p>
      <w:pPr>
        <w:ind w:firstLine="480"/>
        <w:rPr>
          <w:color w:val="000000" w:themeColor="text1"/>
          <w14:textFill>
            <w14:solidFill>
              <w14:schemeClr w14:val="tx1"/>
            </w14:solidFill>
          </w14:textFill>
        </w:rPr>
      </w:pPr>
      <w:bookmarkStart w:id="200" w:name="OLE_LINK44"/>
      <w:r>
        <w:rPr>
          <w:rFonts w:hint="eastAsia"/>
          <w:color w:val="000000" w:themeColor="text1"/>
          <w14:textFill>
            <w14:solidFill>
              <w14:schemeClr w14:val="tx1"/>
            </w14:solidFill>
          </w14:textFill>
        </w:rPr>
        <w:t>（1）</w:t>
      </w:r>
      <w:r>
        <w:rPr>
          <w:color w:val="000000" w:themeColor="text1"/>
          <w14:textFill>
            <w14:solidFill>
              <w14:schemeClr w14:val="tx1"/>
            </w14:solidFill>
          </w14:textFill>
        </w:rPr>
        <w:t>加强污水排放水质监测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建设项目处理的污水进行长期监测，加强污水处理设备进、出水水质水量监测，动态掌握污水进出水质，以便针对污水中污染物及时采取处理措施。建立每日巡查制度，做好污水排放的水质水量检测记录，并定期向区</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局等有关部门报送排放信息及数据，接受相应的监督管理。</w:t>
      </w:r>
    </w:p>
    <w:p>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cs="Times New Roman"/>
          <w:color w:val="000000" w:themeColor="text1"/>
          <w14:textFill>
            <w14:solidFill>
              <w14:schemeClr w14:val="tx1"/>
            </w14:solidFill>
          </w14:textFill>
        </w:rPr>
        <w:t>建立完善的水环境风险防控体系</w:t>
      </w:r>
    </w:p>
    <w:p>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建立企业水环境风险防控体系，从污染源头、过程处理和最终排放的三级防控体系，防止环境风险事故造成水环境污染。加强日常风险防控监督，保证废水处理设备的正常运行。当废水处理设施出现故障，出水水质不达标时，及时将废水排入事故应急调节池，并实施抢修，防止发生污水泄漏事故</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及时采取应急处理措施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发生事故时，及时启用应急处理预案。做到及时发现、及时响应、及时处理，把水环境风险事故的不利影响降到最低</w:t>
      </w:r>
      <w:r>
        <w:rPr>
          <w:rFonts w:hint="eastAsia"/>
          <w:color w:val="000000" w:themeColor="text1"/>
          <w14:textFill>
            <w14:solidFill>
              <w14:schemeClr w14:val="tx1"/>
            </w14:solidFill>
          </w14:textFill>
        </w:rPr>
        <w:t>。</w:t>
      </w:r>
      <w:bookmarkEnd w:id="20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689558"/>
      <w:docPartObj>
        <w:docPartGallery w:val="autotext"/>
      </w:docPartObj>
    </w:sdtPr>
    <w:sdtContent>
      <w:p>
        <w:pPr>
          <w:pStyle w:val="18"/>
          <w:ind w:firstLine="360"/>
          <w:jc w:val="center"/>
        </w:pPr>
        <w:r>
          <w:fldChar w:fldCharType="begin"/>
        </w:r>
        <w:r>
          <w:instrText xml:space="preserve">PAGE   \* MERGEFORMAT</w:instrText>
        </w:r>
        <w:r>
          <w:fldChar w:fldCharType="separate"/>
        </w:r>
        <w:r>
          <w:rPr>
            <w:lang w:val="zh-CN"/>
          </w:rPr>
          <w:t>II</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2596237"/>
      <w:docPartObj>
        <w:docPartGallery w:val="autotext"/>
      </w:docPartObj>
    </w:sdtPr>
    <w:sdtContent>
      <w:p>
        <w:pPr>
          <w:pStyle w:val="18"/>
          <w:ind w:firstLine="360"/>
          <w:jc w:val="center"/>
        </w:pPr>
        <w:r>
          <w:fldChar w:fldCharType="begin"/>
        </w:r>
        <w:r>
          <w:instrText xml:space="preserve">PAGE   \* MERGEFORMAT</w:instrText>
        </w:r>
        <w:r>
          <w:fldChar w:fldCharType="separate"/>
        </w:r>
        <w:r>
          <w:rPr>
            <w:lang w:val="zh-CN"/>
          </w:rPr>
          <w:t>51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E4A5A1"/>
    <w:multiLevelType w:val="singleLevel"/>
    <w:tmpl w:val="A2E4A5A1"/>
    <w:lvl w:ilvl="0" w:tentative="0">
      <w:start w:val="4"/>
      <w:numFmt w:val="chineseCounting"/>
      <w:suff w:val="space"/>
      <w:lvlText w:val="第%1条"/>
      <w:lvlJc w:val="left"/>
      <w:rPr>
        <w:rFonts w:hint="eastAsia"/>
      </w:rPr>
    </w:lvl>
  </w:abstractNum>
  <w:abstractNum w:abstractNumId="1">
    <w:nsid w:val="00000007"/>
    <w:multiLevelType w:val="multilevel"/>
    <w:tmpl w:val="00000007"/>
    <w:lvl w:ilvl="0" w:tentative="0">
      <w:start w:val="1"/>
      <w:numFmt w:val="decimal"/>
      <w:pStyle w:val="113"/>
      <w:lvlText w:val="%1."/>
      <w:lvlJc w:val="left"/>
      <w:pPr>
        <w:tabs>
          <w:tab w:val="left" w:pos="432"/>
        </w:tabs>
        <w:ind w:left="432" w:hanging="432"/>
      </w:pPr>
      <w:rPr>
        <w:rFonts w:hint="default" w:ascii="Times New Roman" w:hAnsi="Times New Roman"/>
        <w:b/>
        <w:i w:val="0"/>
        <w:caps w:val="0"/>
        <w:strike w:val="0"/>
        <w:dstrike w:val="0"/>
        <w:vanish w:val="0"/>
        <w:color w:val="auto"/>
        <w:kern w:val="0"/>
        <w:u w:val="none"/>
        <w:vertAlign w:val="baseline"/>
      </w:rPr>
    </w:lvl>
    <w:lvl w:ilvl="1" w:tentative="0">
      <w:start w:val="1"/>
      <w:numFmt w:val="decimal"/>
      <w:pStyle w:val="116"/>
      <w:lvlText w:val="%1.%2"/>
      <w:lvlJc w:val="left"/>
      <w:pPr>
        <w:tabs>
          <w:tab w:val="left" w:pos="576"/>
        </w:tabs>
        <w:ind w:left="576" w:hanging="576"/>
      </w:pPr>
      <w:rPr>
        <w:rFonts w:hint="default" w:ascii="Times New Roman" w:hAnsi="Times New Roman"/>
        <w:b w:val="0"/>
        <w:i w:val="0"/>
        <w:caps w:val="0"/>
        <w:strike w:val="0"/>
        <w:dstrike w:val="0"/>
        <w:vanish w:val="0"/>
        <w:color w:val="auto"/>
        <w:u w:val="none"/>
        <w:vertAlign w:val="baseline"/>
      </w:rPr>
    </w:lvl>
    <w:lvl w:ilvl="2" w:tentative="0">
      <w:start w:val="1"/>
      <w:numFmt w:val="decimal"/>
      <w:pStyle w:val="114"/>
      <w:lvlText w:val="%1.%2.%3"/>
      <w:lvlJc w:val="left"/>
      <w:pPr>
        <w:tabs>
          <w:tab w:val="left" w:pos="720"/>
        </w:tabs>
        <w:ind w:left="720" w:hanging="720"/>
      </w:pPr>
      <w:rPr>
        <w:rFonts w:hint="default" w:ascii="Times New Roman" w:hAnsi="Times New Roman" w:cs="Times New Roman"/>
      </w:rPr>
    </w:lvl>
    <w:lvl w:ilvl="3" w:tentative="0">
      <w:start w:val="1"/>
      <w:numFmt w:val="decimal"/>
      <w:pStyle w:val="115"/>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CA70CD3"/>
    <w:multiLevelType w:val="multilevel"/>
    <w:tmpl w:val="0CA70CD3"/>
    <w:lvl w:ilvl="0" w:tentative="0">
      <w:start w:val="1"/>
      <w:numFmt w:val="decimal"/>
      <w:pStyle w:val="46"/>
      <w:suff w:val="nothing"/>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E157B1"/>
    <w:multiLevelType w:val="multilevel"/>
    <w:tmpl w:val="4AE157B1"/>
    <w:lvl w:ilvl="0" w:tentative="0">
      <w:start w:val="1"/>
      <w:numFmt w:val="chineseCountingThousand"/>
      <w:pStyle w:val="42"/>
      <w:suff w:val="nothing"/>
      <w:lvlText w:val="%1、"/>
      <w:lvlJc w:val="left"/>
      <w:pPr>
        <w:ind w:left="10782" w:hanging="585"/>
      </w:pPr>
      <w:rPr>
        <w:rFonts w:hint="default" w:ascii="Times New Roman" w:hAnsi="Times New Roman" w:eastAsia="宋体" w:cs="Times New Roman"/>
        <w:b/>
      </w:rPr>
    </w:lvl>
    <w:lvl w:ilvl="1" w:tentative="0">
      <w:start w:val="1"/>
      <w:numFmt w:val="decimal"/>
      <w:pStyle w:val="3"/>
      <w:isLgl/>
      <w:suff w:val="space"/>
      <w:lvlText w:val="%1.%2"/>
      <w:lvlJc w:val="left"/>
      <w:pPr>
        <w:ind w:left="2137" w:hanging="720"/>
      </w:pPr>
      <w:rPr>
        <w:rFonts w:ascii="Times New Roman" w:hAnsi="Times New Roman"/>
        <w:b/>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isLgl/>
      <w:suff w:val="space"/>
      <w:lvlText w:val="%1.%2.%3"/>
      <w:lvlJc w:val="left"/>
      <w:pPr>
        <w:ind w:left="2704" w:hanging="720"/>
      </w:pPr>
      <w:rPr>
        <w:rFonts w:hint="default"/>
      </w:rPr>
    </w:lvl>
    <w:lvl w:ilvl="3" w:tentative="0">
      <w:start w:val="1"/>
      <w:numFmt w:val="decimal"/>
      <w:pStyle w:val="68"/>
      <w:isLgl/>
      <w:suff w:val="space"/>
      <w:lvlText w:val="%1.%2.%3.%4"/>
      <w:lvlJc w:val="left"/>
      <w:pPr>
        <w:ind w:left="1495" w:hanging="1080"/>
      </w:pPr>
      <w:rPr>
        <w:rFonts w:hint="default" w:ascii="Times New Roman" w:hAnsi="Times New Roman" w:eastAsia="宋体" w:cs="Times New Roman"/>
        <w:b/>
      </w:rPr>
    </w:lvl>
    <w:lvl w:ilvl="4" w:tentative="0">
      <w:start w:val="1"/>
      <w:numFmt w:val="decimal"/>
      <w:lvlText w:val="%1.%2.%3.%4.%5"/>
      <w:lvlJc w:val="left"/>
      <w:pPr>
        <w:ind w:left="1855" w:hanging="1440"/>
      </w:pPr>
      <w:rPr>
        <w:rFonts w:hint="default" w:ascii="Times New Roman" w:hAnsi="Times New Roman" w:eastAsia="宋体" w:cs="Times New Roman"/>
        <w:b/>
      </w:rPr>
    </w:lvl>
    <w:lvl w:ilvl="5" w:tentative="0">
      <w:start w:val="1"/>
      <w:numFmt w:val="decimal"/>
      <w:lvlText w:val="%1.%2.%3.%4.%5.%6"/>
      <w:lvlJc w:val="left"/>
      <w:pPr>
        <w:ind w:left="2215" w:hanging="1800"/>
      </w:pPr>
      <w:rPr>
        <w:rFonts w:hint="default" w:ascii="Times New Roman" w:hAnsi="Times New Roman" w:eastAsia="宋体" w:cs="Times New Roman"/>
        <w:b/>
      </w:rPr>
    </w:lvl>
    <w:lvl w:ilvl="6" w:tentative="0">
      <w:start w:val="1"/>
      <w:numFmt w:val="decimal"/>
      <w:lvlText w:val="%1.%2.%3.%4.%5.%6.%7"/>
      <w:lvlJc w:val="left"/>
      <w:pPr>
        <w:ind w:left="2215" w:hanging="1800"/>
      </w:pPr>
      <w:rPr>
        <w:rFonts w:hint="default" w:ascii="Times New Roman" w:hAnsi="Times New Roman" w:eastAsia="宋体" w:cs="Times New Roman"/>
        <w:b/>
      </w:rPr>
    </w:lvl>
    <w:lvl w:ilvl="7" w:tentative="0">
      <w:start w:val="1"/>
      <w:numFmt w:val="decimal"/>
      <w:lvlText w:val="%1.%2.%3.%4.%5.%6.%7.%8"/>
      <w:lvlJc w:val="left"/>
      <w:pPr>
        <w:ind w:left="2575" w:hanging="2160"/>
      </w:pPr>
      <w:rPr>
        <w:rFonts w:hint="default" w:ascii="Times New Roman" w:hAnsi="Times New Roman" w:eastAsia="宋体" w:cs="Times New Roman"/>
        <w:b/>
      </w:rPr>
    </w:lvl>
    <w:lvl w:ilvl="8" w:tentative="0">
      <w:start w:val="1"/>
      <w:numFmt w:val="decimal"/>
      <w:lvlText w:val="%1.%2.%3.%4.%5.%6.%7.%8.%9"/>
      <w:lvlJc w:val="left"/>
      <w:pPr>
        <w:ind w:left="2935" w:hanging="2520"/>
      </w:pPr>
      <w:rPr>
        <w:rFonts w:hint="default" w:ascii="Times New Roman" w:hAnsi="Times New Roman" w:eastAsia="宋体" w:cs="Times New Roman"/>
        <w:b/>
      </w:rPr>
    </w:lvl>
  </w:abstractNum>
  <w:abstractNum w:abstractNumId="4">
    <w:nsid w:val="52FE27AC"/>
    <w:multiLevelType w:val="multilevel"/>
    <w:tmpl w:val="52FE27AC"/>
    <w:lvl w:ilvl="0" w:tentative="0">
      <w:start w:val="1"/>
      <w:numFmt w:val="lowerLetter"/>
      <w:pStyle w:val="52"/>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43C45AA"/>
    <w:multiLevelType w:val="multilevel"/>
    <w:tmpl w:val="543C45AA"/>
    <w:lvl w:ilvl="0" w:tentative="0">
      <w:start w:val="1"/>
      <w:numFmt w:val="upperLetter"/>
      <w:pStyle w:val="50"/>
      <w:suff w:val="nothing"/>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EF01E3A"/>
    <w:multiLevelType w:val="multilevel"/>
    <w:tmpl w:val="7EF01E3A"/>
    <w:lvl w:ilvl="0" w:tentative="0">
      <w:start w:val="1"/>
      <w:numFmt w:val="decimal"/>
      <w:pStyle w:val="48"/>
      <w:suff w:val="space"/>
      <w:lvlText w:val="%1)"/>
      <w:lvlJc w:val="left"/>
      <w:pPr>
        <w:ind w:left="1271" w:hanging="704"/>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D"/>
    <w:rsid w:val="00000B80"/>
    <w:rsid w:val="00001996"/>
    <w:rsid w:val="000022E5"/>
    <w:rsid w:val="00002AB7"/>
    <w:rsid w:val="000033B6"/>
    <w:rsid w:val="00003F3C"/>
    <w:rsid w:val="00004648"/>
    <w:rsid w:val="000053C9"/>
    <w:rsid w:val="00006734"/>
    <w:rsid w:val="00006C6A"/>
    <w:rsid w:val="00007FE0"/>
    <w:rsid w:val="00010883"/>
    <w:rsid w:val="00011EAC"/>
    <w:rsid w:val="000129BA"/>
    <w:rsid w:val="00012B6D"/>
    <w:rsid w:val="00012DCB"/>
    <w:rsid w:val="0001343C"/>
    <w:rsid w:val="00013505"/>
    <w:rsid w:val="00013712"/>
    <w:rsid w:val="000142F0"/>
    <w:rsid w:val="00014ECE"/>
    <w:rsid w:val="000157E6"/>
    <w:rsid w:val="000162D3"/>
    <w:rsid w:val="00017E9B"/>
    <w:rsid w:val="00021D95"/>
    <w:rsid w:val="00022035"/>
    <w:rsid w:val="000228E4"/>
    <w:rsid w:val="00022C78"/>
    <w:rsid w:val="0002308C"/>
    <w:rsid w:val="00023320"/>
    <w:rsid w:val="000246D2"/>
    <w:rsid w:val="0002489E"/>
    <w:rsid w:val="00025091"/>
    <w:rsid w:val="0002577C"/>
    <w:rsid w:val="00025BB5"/>
    <w:rsid w:val="00026253"/>
    <w:rsid w:val="000273AF"/>
    <w:rsid w:val="0002770E"/>
    <w:rsid w:val="00027B75"/>
    <w:rsid w:val="00027D72"/>
    <w:rsid w:val="00030141"/>
    <w:rsid w:val="00030B80"/>
    <w:rsid w:val="0003140D"/>
    <w:rsid w:val="00031817"/>
    <w:rsid w:val="00031A97"/>
    <w:rsid w:val="00031C1F"/>
    <w:rsid w:val="00031D2F"/>
    <w:rsid w:val="00032434"/>
    <w:rsid w:val="00032AD8"/>
    <w:rsid w:val="00034290"/>
    <w:rsid w:val="000342D7"/>
    <w:rsid w:val="00035EC3"/>
    <w:rsid w:val="00035F91"/>
    <w:rsid w:val="000367F2"/>
    <w:rsid w:val="00037403"/>
    <w:rsid w:val="0004158D"/>
    <w:rsid w:val="00041831"/>
    <w:rsid w:val="00044139"/>
    <w:rsid w:val="0004687B"/>
    <w:rsid w:val="000469B9"/>
    <w:rsid w:val="000470C7"/>
    <w:rsid w:val="0004770D"/>
    <w:rsid w:val="0004787B"/>
    <w:rsid w:val="00050DD5"/>
    <w:rsid w:val="00051B92"/>
    <w:rsid w:val="0005285B"/>
    <w:rsid w:val="000532BB"/>
    <w:rsid w:val="0005447A"/>
    <w:rsid w:val="0005494D"/>
    <w:rsid w:val="00054D66"/>
    <w:rsid w:val="00057C17"/>
    <w:rsid w:val="00060235"/>
    <w:rsid w:val="000606D0"/>
    <w:rsid w:val="00060E9C"/>
    <w:rsid w:val="000625DB"/>
    <w:rsid w:val="000639D1"/>
    <w:rsid w:val="00063E3E"/>
    <w:rsid w:val="000647E1"/>
    <w:rsid w:val="00064E2B"/>
    <w:rsid w:val="00064EF5"/>
    <w:rsid w:val="0006563E"/>
    <w:rsid w:val="00066BFA"/>
    <w:rsid w:val="0006715B"/>
    <w:rsid w:val="000676E3"/>
    <w:rsid w:val="00070BDE"/>
    <w:rsid w:val="00071A4D"/>
    <w:rsid w:val="00074183"/>
    <w:rsid w:val="00074421"/>
    <w:rsid w:val="000747D0"/>
    <w:rsid w:val="00074FB6"/>
    <w:rsid w:val="00075EBE"/>
    <w:rsid w:val="00076EFB"/>
    <w:rsid w:val="000772CE"/>
    <w:rsid w:val="00077DFB"/>
    <w:rsid w:val="00080222"/>
    <w:rsid w:val="00080A28"/>
    <w:rsid w:val="000821C7"/>
    <w:rsid w:val="000841E6"/>
    <w:rsid w:val="00084B18"/>
    <w:rsid w:val="00084BDF"/>
    <w:rsid w:val="00086461"/>
    <w:rsid w:val="000864DE"/>
    <w:rsid w:val="00090169"/>
    <w:rsid w:val="000909F6"/>
    <w:rsid w:val="0009195C"/>
    <w:rsid w:val="000919EC"/>
    <w:rsid w:val="0009389D"/>
    <w:rsid w:val="00093B52"/>
    <w:rsid w:val="00094081"/>
    <w:rsid w:val="0009446D"/>
    <w:rsid w:val="000948E6"/>
    <w:rsid w:val="00094930"/>
    <w:rsid w:val="0009493E"/>
    <w:rsid w:val="00096563"/>
    <w:rsid w:val="000A0FB7"/>
    <w:rsid w:val="000A20A0"/>
    <w:rsid w:val="000A350A"/>
    <w:rsid w:val="000A3DCA"/>
    <w:rsid w:val="000A49BC"/>
    <w:rsid w:val="000A507D"/>
    <w:rsid w:val="000A6595"/>
    <w:rsid w:val="000A79B9"/>
    <w:rsid w:val="000A7BBE"/>
    <w:rsid w:val="000B033E"/>
    <w:rsid w:val="000B12BC"/>
    <w:rsid w:val="000B1388"/>
    <w:rsid w:val="000B1C3E"/>
    <w:rsid w:val="000B271C"/>
    <w:rsid w:val="000B2AAF"/>
    <w:rsid w:val="000B36BC"/>
    <w:rsid w:val="000B3762"/>
    <w:rsid w:val="000B51FF"/>
    <w:rsid w:val="000B5FA9"/>
    <w:rsid w:val="000B692F"/>
    <w:rsid w:val="000B69C2"/>
    <w:rsid w:val="000B7443"/>
    <w:rsid w:val="000B7FF8"/>
    <w:rsid w:val="000C013B"/>
    <w:rsid w:val="000C0AC5"/>
    <w:rsid w:val="000C0AEB"/>
    <w:rsid w:val="000C15CB"/>
    <w:rsid w:val="000C2017"/>
    <w:rsid w:val="000C273C"/>
    <w:rsid w:val="000C2CC2"/>
    <w:rsid w:val="000C48D8"/>
    <w:rsid w:val="000C49CF"/>
    <w:rsid w:val="000C5293"/>
    <w:rsid w:val="000C64B6"/>
    <w:rsid w:val="000C6DBB"/>
    <w:rsid w:val="000D0374"/>
    <w:rsid w:val="000D0668"/>
    <w:rsid w:val="000D08B4"/>
    <w:rsid w:val="000D244C"/>
    <w:rsid w:val="000D3282"/>
    <w:rsid w:val="000D3BA1"/>
    <w:rsid w:val="000D41F7"/>
    <w:rsid w:val="000D6312"/>
    <w:rsid w:val="000D64A0"/>
    <w:rsid w:val="000D70AF"/>
    <w:rsid w:val="000D70E4"/>
    <w:rsid w:val="000D7645"/>
    <w:rsid w:val="000D7F78"/>
    <w:rsid w:val="000E03C6"/>
    <w:rsid w:val="000E04A8"/>
    <w:rsid w:val="000E0C50"/>
    <w:rsid w:val="000E0F79"/>
    <w:rsid w:val="000E1127"/>
    <w:rsid w:val="000E18D0"/>
    <w:rsid w:val="000E1ABA"/>
    <w:rsid w:val="000E1ABF"/>
    <w:rsid w:val="000E2314"/>
    <w:rsid w:val="000E369E"/>
    <w:rsid w:val="000E545C"/>
    <w:rsid w:val="000E6A79"/>
    <w:rsid w:val="000E7311"/>
    <w:rsid w:val="000E7BBE"/>
    <w:rsid w:val="000F227C"/>
    <w:rsid w:val="000F2543"/>
    <w:rsid w:val="000F2559"/>
    <w:rsid w:val="000F2A51"/>
    <w:rsid w:val="000F37E8"/>
    <w:rsid w:val="000F4335"/>
    <w:rsid w:val="000F543F"/>
    <w:rsid w:val="000F5841"/>
    <w:rsid w:val="000F60E9"/>
    <w:rsid w:val="000F6207"/>
    <w:rsid w:val="000F65C4"/>
    <w:rsid w:val="000F6889"/>
    <w:rsid w:val="000F6E04"/>
    <w:rsid w:val="000F73B3"/>
    <w:rsid w:val="000F73F7"/>
    <w:rsid w:val="000F750F"/>
    <w:rsid w:val="00100260"/>
    <w:rsid w:val="0010093C"/>
    <w:rsid w:val="00100F5F"/>
    <w:rsid w:val="001011E8"/>
    <w:rsid w:val="00101AFF"/>
    <w:rsid w:val="00101C2B"/>
    <w:rsid w:val="00101F8C"/>
    <w:rsid w:val="00102842"/>
    <w:rsid w:val="00102936"/>
    <w:rsid w:val="00102B06"/>
    <w:rsid w:val="001033D0"/>
    <w:rsid w:val="00103711"/>
    <w:rsid w:val="00105113"/>
    <w:rsid w:val="0010550B"/>
    <w:rsid w:val="00106622"/>
    <w:rsid w:val="00106AE0"/>
    <w:rsid w:val="001079C8"/>
    <w:rsid w:val="001102BC"/>
    <w:rsid w:val="00110DFC"/>
    <w:rsid w:val="00111831"/>
    <w:rsid w:val="00111C41"/>
    <w:rsid w:val="001125D3"/>
    <w:rsid w:val="00113660"/>
    <w:rsid w:val="00113FBD"/>
    <w:rsid w:val="00117489"/>
    <w:rsid w:val="00117E58"/>
    <w:rsid w:val="001203A9"/>
    <w:rsid w:val="00120EBE"/>
    <w:rsid w:val="00121EF6"/>
    <w:rsid w:val="001233F7"/>
    <w:rsid w:val="00123C75"/>
    <w:rsid w:val="00123F75"/>
    <w:rsid w:val="00125E32"/>
    <w:rsid w:val="0012735F"/>
    <w:rsid w:val="00130467"/>
    <w:rsid w:val="00130495"/>
    <w:rsid w:val="00130942"/>
    <w:rsid w:val="00130F9A"/>
    <w:rsid w:val="00133DA0"/>
    <w:rsid w:val="001355A7"/>
    <w:rsid w:val="00135D30"/>
    <w:rsid w:val="00137064"/>
    <w:rsid w:val="00137A93"/>
    <w:rsid w:val="00137BD6"/>
    <w:rsid w:val="001402AD"/>
    <w:rsid w:val="00140468"/>
    <w:rsid w:val="00140523"/>
    <w:rsid w:val="0014077C"/>
    <w:rsid w:val="00140CD8"/>
    <w:rsid w:val="0014179F"/>
    <w:rsid w:val="0014183D"/>
    <w:rsid w:val="00141878"/>
    <w:rsid w:val="00141BA9"/>
    <w:rsid w:val="00141E89"/>
    <w:rsid w:val="00142784"/>
    <w:rsid w:val="00142F17"/>
    <w:rsid w:val="001432D2"/>
    <w:rsid w:val="00143D7E"/>
    <w:rsid w:val="00143E67"/>
    <w:rsid w:val="0014570F"/>
    <w:rsid w:val="00146296"/>
    <w:rsid w:val="00151EF7"/>
    <w:rsid w:val="0015204D"/>
    <w:rsid w:val="001534B4"/>
    <w:rsid w:val="001540A4"/>
    <w:rsid w:val="00155ADB"/>
    <w:rsid w:val="00155BDD"/>
    <w:rsid w:val="00156A75"/>
    <w:rsid w:val="00156C08"/>
    <w:rsid w:val="00160B4B"/>
    <w:rsid w:val="001611B5"/>
    <w:rsid w:val="00161F17"/>
    <w:rsid w:val="001620E4"/>
    <w:rsid w:val="00162962"/>
    <w:rsid w:val="0016331F"/>
    <w:rsid w:val="00163780"/>
    <w:rsid w:val="00163B23"/>
    <w:rsid w:val="00166289"/>
    <w:rsid w:val="00166C9B"/>
    <w:rsid w:val="00167993"/>
    <w:rsid w:val="00167AE4"/>
    <w:rsid w:val="00167DFE"/>
    <w:rsid w:val="00171255"/>
    <w:rsid w:val="001717C1"/>
    <w:rsid w:val="00171A17"/>
    <w:rsid w:val="00172273"/>
    <w:rsid w:val="00172584"/>
    <w:rsid w:val="00172843"/>
    <w:rsid w:val="00172B56"/>
    <w:rsid w:val="00173048"/>
    <w:rsid w:val="00174CFA"/>
    <w:rsid w:val="001750A0"/>
    <w:rsid w:val="00176017"/>
    <w:rsid w:val="001760D5"/>
    <w:rsid w:val="001768B1"/>
    <w:rsid w:val="00177E5D"/>
    <w:rsid w:val="00180106"/>
    <w:rsid w:val="00180726"/>
    <w:rsid w:val="001814E9"/>
    <w:rsid w:val="00181511"/>
    <w:rsid w:val="00181AFD"/>
    <w:rsid w:val="001825B2"/>
    <w:rsid w:val="0018421F"/>
    <w:rsid w:val="00184CF1"/>
    <w:rsid w:val="0018574C"/>
    <w:rsid w:val="00185A23"/>
    <w:rsid w:val="00186141"/>
    <w:rsid w:val="001863C0"/>
    <w:rsid w:val="001874CD"/>
    <w:rsid w:val="00190EF1"/>
    <w:rsid w:val="00191789"/>
    <w:rsid w:val="00192454"/>
    <w:rsid w:val="00192919"/>
    <w:rsid w:val="00192FC9"/>
    <w:rsid w:val="00193482"/>
    <w:rsid w:val="001937B9"/>
    <w:rsid w:val="001937ED"/>
    <w:rsid w:val="0019703D"/>
    <w:rsid w:val="001971D0"/>
    <w:rsid w:val="00197D7A"/>
    <w:rsid w:val="001A07C3"/>
    <w:rsid w:val="001A0D04"/>
    <w:rsid w:val="001A0F77"/>
    <w:rsid w:val="001A1F52"/>
    <w:rsid w:val="001A2560"/>
    <w:rsid w:val="001A2957"/>
    <w:rsid w:val="001A4098"/>
    <w:rsid w:val="001A47E7"/>
    <w:rsid w:val="001A4A50"/>
    <w:rsid w:val="001A4DF8"/>
    <w:rsid w:val="001A55CD"/>
    <w:rsid w:val="001A68AB"/>
    <w:rsid w:val="001A6990"/>
    <w:rsid w:val="001A6DF1"/>
    <w:rsid w:val="001A7630"/>
    <w:rsid w:val="001B031A"/>
    <w:rsid w:val="001B0574"/>
    <w:rsid w:val="001B0B1A"/>
    <w:rsid w:val="001B0BB9"/>
    <w:rsid w:val="001B18DB"/>
    <w:rsid w:val="001B3E8C"/>
    <w:rsid w:val="001B4894"/>
    <w:rsid w:val="001B6CD7"/>
    <w:rsid w:val="001B7FC3"/>
    <w:rsid w:val="001B7FCC"/>
    <w:rsid w:val="001C2C26"/>
    <w:rsid w:val="001C384E"/>
    <w:rsid w:val="001C439C"/>
    <w:rsid w:val="001C4B15"/>
    <w:rsid w:val="001C58A8"/>
    <w:rsid w:val="001C5DE9"/>
    <w:rsid w:val="001C6DE0"/>
    <w:rsid w:val="001C6DE7"/>
    <w:rsid w:val="001D1741"/>
    <w:rsid w:val="001D2569"/>
    <w:rsid w:val="001D407F"/>
    <w:rsid w:val="001D4815"/>
    <w:rsid w:val="001D546E"/>
    <w:rsid w:val="001D6372"/>
    <w:rsid w:val="001D7A45"/>
    <w:rsid w:val="001E021E"/>
    <w:rsid w:val="001E02EC"/>
    <w:rsid w:val="001E0D3C"/>
    <w:rsid w:val="001E2B73"/>
    <w:rsid w:val="001E301D"/>
    <w:rsid w:val="001E3372"/>
    <w:rsid w:val="001E3BA1"/>
    <w:rsid w:val="001E43B6"/>
    <w:rsid w:val="001E44DB"/>
    <w:rsid w:val="001E48C8"/>
    <w:rsid w:val="001E588B"/>
    <w:rsid w:val="001E599D"/>
    <w:rsid w:val="001E6B98"/>
    <w:rsid w:val="001F00E8"/>
    <w:rsid w:val="001F3483"/>
    <w:rsid w:val="001F36E1"/>
    <w:rsid w:val="001F3D79"/>
    <w:rsid w:val="001F3D83"/>
    <w:rsid w:val="001F3DB7"/>
    <w:rsid w:val="001F4BB3"/>
    <w:rsid w:val="001F5AA1"/>
    <w:rsid w:val="001F5D23"/>
    <w:rsid w:val="001F6AC0"/>
    <w:rsid w:val="002000DC"/>
    <w:rsid w:val="0020026E"/>
    <w:rsid w:val="00200B63"/>
    <w:rsid w:val="002011A6"/>
    <w:rsid w:val="00201FAE"/>
    <w:rsid w:val="00202927"/>
    <w:rsid w:val="00202EA8"/>
    <w:rsid w:val="00203029"/>
    <w:rsid w:val="0020331C"/>
    <w:rsid w:val="00204C58"/>
    <w:rsid w:val="00204FD9"/>
    <w:rsid w:val="002051D0"/>
    <w:rsid w:val="002062C8"/>
    <w:rsid w:val="00210755"/>
    <w:rsid w:val="0021090A"/>
    <w:rsid w:val="002109CB"/>
    <w:rsid w:val="00210C47"/>
    <w:rsid w:val="00211578"/>
    <w:rsid w:val="002117FA"/>
    <w:rsid w:val="00211D06"/>
    <w:rsid w:val="00211D11"/>
    <w:rsid w:val="002122B4"/>
    <w:rsid w:val="00212941"/>
    <w:rsid w:val="0021413A"/>
    <w:rsid w:val="0021559B"/>
    <w:rsid w:val="002155B0"/>
    <w:rsid w:val="00217FC7"/>
    <w:rsid w:val="00221038"/>
    <w:rsid w:val="002219B1"/>
    <w:rsid w:val="00221BEB"/>
    <w:rsid w:val="00222CD0"/>
    <w:rsid w:val="00223979"/>
    <w:rsid w:val="00223AEA"/>
    <w:rsid w:val="00223B85"/>
    <w:rsid w:val="0022486E"/>
    <w:rsid w:val="0022488D"/>
    <w:rsid w:val="002249A3"/>
    <w:rsid w:val="00225507"/>
    <w:rsid w:val="00227787"/>
    <w:rsid w:val="00227845"/>
    <w:rsid w:val="00227D6D"/>
    <w:rsid w:val="00230BA8"/>
    <w:rsid w:val="00230D40"/>
    <w:rsid w:val="002336A5"/>
    <w:rsid w:val="00233EAB"/>
    <w:rsid w:val="00233F52"/>
    <w:rsid w:val="00234224"/>
    <w:rsid w:val="002342A8"/>
    <w:rsid w:val="002347EB"/>
    <w:rsid w:val="00234D6C"/>
    <w:rsid w:val="00235362"/>
    <w:rsid w:val="0023766C"/>
    <w:rsid w:val="00240D0C"/>
    <w:rsid w:val="00241900"/>
    <w:rsid w:val="00241CBF"/>
    <w:rsid w:val="00242B51"/>
    <w:rsid w:val="0024342C"/>
    <w:rsid w:val="00243E5B"/>
    <w:rsid w:val="00244ABF"/>
    <w:rsid w:val="00245992"/>
    <w:rsid w:val="00245D9D"/>
    <w:rsid w:val="0024661E"/>
    <w:rsid w:val="002474A6"/>
    <w:rsid w:val="00247BDF"/>
    <w:rsid w:val="002511CA"/>
    <w:rsid w:val="00251D3C"/>
    <w:rsid w:val="00251E73"/>
    <w:rsid w:val="00254F45"/>
    <w:rsid w:val="002559EB"/>
    <w:rsid w:val="00256612"/>
    <w:rsid w:val="0025699C"/>
    <w:rsid w:val="00256DC7"/>
    <w:rsid w:val="002570C8"/>
    <w:rsid w:val="002576BF"/>
    <w:rsid w:val="002578C5"/>
    <w:rsid w:val="00261386"/>
    <w:rsid w:val="00261A16"/>
    <w:rsid w:val="00262328"/>
    <w:rsid w:val="00263CA0"/>
    <w:rsid w:val="00265124"/>
    <w:rsid w:val="00265A1B"/>
    <w:rsid w:val="00265E1A"/>
    <w:rsid w:val="002668C6"/>
    <w:rsid w:val="00267688"/>
    <w:rsid w:val="00267ED5"/>
    <w:rsid w:val="0027080F"/>
    <w:rsid w:val="002709F9"/>
    <w:rsid w:val="00270A31"/>
    <w:rsid w:val="002720E5"/>
    <w:rsid w:val="00272420"/>
    <w:rsid w:val="002728C5"/>
    <w:rsid w:val="00273E99"/>
    <w:rsid w:val="0027579F"/>
    <w:rsid w:val="00276663"/>
    <w:rsid w:val="00277B58"/>
    <w:rsid w:val="00277FB3"/>
    <w:rsid w:val="00280E6D"/>
    <w:rsid w:val="00280FF8"/>
    <w:rsid w:val="00281771"/>
    <w:rsid w:val="002817D2"/>
    <w:rsid w:val="00281EEA"/>
    <w:rsid w:val="0028216E"/>
    <w:rsid w:val="00283997"/>
    <w:rsid w:val="00283AD3"/>
    <w:rsid w:val="00284547"/>
    <w:rsid w:val="0028520C"/>
    <w:rsid w:val="0028548A"/>
    <w:rsid w:val="00286037"/>
    <w:rsid w:val="0028627D"/>
    <w:rsid w:val="002911F9"/>
    <w:rsid w:val="002915DD"/>
    <w:rsid w:val="00291A16"/>
    <w:rsid w:val="00291AD5"/>
    <w:rsid w:val="002922DF"/>
    <w:rsid w:val="00292489"/>
    <w:rsid w:val="00293735"/>
    <w:rsid w:val="0029396E"/>
    <w:rsid w:val="00294301"/>
    <w:rsid w:val="002948E3"/>
    <w:rsid w:val="00294CD2"/>
    <w:rsid w:val="002952EB"/>
    <w:rsid w:val="00295F24"/>
    <w:rsid w:val="00296A61"/>
    <w:rsid w:val="002978A8"/>
    <w:rsid w:val="002A10D2"/>
    <w:rsid w:val="002A1556"/>
    <w:rsid w:val="002A23DC"/>
    <w:rsid w:val="002A2775"/>
    <w:rsid w:val="002A286F"/>
    <w:rsid w:val="002A3973"/>
    <w:rsid w:val="002A3F26"/>
    <w:rsid w:val="002A45E8"/>
    <w:rsid w:val="002A472C"/>
    <w:rsid w:val="002A707B"/>
    <w:rsid w:val="002B0415"/>
    <w:rsid w:val="002B0A52"/>
    <w:rsid w:val="002B111E"/>
    <w:rsid w:val="002B1F0F"/>
    <w:rsid w:val="002B2264"/>
    <w:rsid w:val="002B31FC"/>
    <w:rsid w:val="002B332B"/>
    <w:rsid w:val="002B52FA"/>
    <w:rsid w:val="002B5BFA"/>
    <w:rsid w:val="002B630C"/>
    <w:rsid w:val="002B66B2"/>
    <w:rsid w:val="002B775F"/>
    <w:rsid w:val="002B7D65"/>
    <w:rsid w:val="002C016E"/>
    <w:rsid w:val="002C024D"/>
    <w:rsid w:val="002C05CF"/>
    <w:rsid w:val="002C080E"/>
    <w:rsid w:val="002C204D"/>
    <w:rsid w:val="002C24E6"/>
    <w:rsid w:val="002C408A"/>
    <w:rsid w:val="002C48EE"/>
    <w:rsid w:val="002C52DC"/>
    <w:rsid w:val="002C63E4"/>
    <w:rsid w:val="002C659A"/>
    <w:rsid w:val="002C6881"/>
    <w:rsid w:val="002C6DF5"/>
    <w:rsid w:val="002C7CF9"/>
    <w:rsid w:val="002D1548"/>
    <w:rsid w:val="002D2288"/>
    <w:rsid w:val="002D2BB4"/>
    <w:rsid w:val="002D2D65"/>
    <w:rsid w:val="002D2DB6"/>
    <w:rsid w:val="002D379B"/>
    <w:rsid w:val="002D41B2"/>
    <w:rsid w:val="002D489C"/>
    <w:rsid w:val="002D55A2"/>
    <w:rsid w:val="002D7016"/>
    <w:rsid w:val="002D76A7"/>
    <w:rsid w:val="002E2969"/>
    <w:rsid w:val="002E3427"/>
    <w:rsid w:val="002E3EBE"/>
    <w:rsid w:val="002E56A5"/>
    <w:rsid w:val="002F0738"/>
    <w:rsid w:val="002F0D2C"/>
    <w:rsid w:val="002F1116"/>
    <w:rsid w:val="002F1A17"/>
    <w:rsid w:val="002F1B88"/>
    <w:rsid w:val="002F2605"/>
    <w:rsid w:val="002F35AB"/>
    <w:rsid w:val="002F37D7"/>
    <w:rsid w:val="002F3869"/>
    <w:rsid w:val="002F3E4C"/>
    <w:rsid w:val="002F48F7"/>
    <w:rsid w:val="002F4F50"/>
    <w:rsid w:val="002F5544"/>
    <w:rsid w:val="002F570C"/>
    <w:rsid w:val="002F5C93"/>
    <w:rsid w:val="002F5E88"/>
    <w:rsid w:val="002F7349"/>
    <w:rsid w:val="002F7FC7"/>
    <w:rsid w:val="00300C49"/>
    <w:rsid w:val="00302032"/>
    <w:rsid w:val="00303690"/>
    <w:rsid w:val="003037A0"/>
    <w:rsid w:val="00303A40"/>
    <w:rsid w:val="00303AEA"/>
    <w:rsid w:val="00303F15"/>
    <w:rsid w:val="0030411F"/>
    <w:rsid w:val="00304A8F"/>
    <w:rsid w:val="00305143"/>
    <w:rsid w:val="00305241"/>
    <w:rsid w:val="00305E0E"/>
    <w:rsid w:val="00305EF5"/>
    <w:rsid w:val="003071AD"/>
    <w:rsid w:val="0030791A"/>
    <w:rsid w:val="00307A93"/>
    <w:rsid w:val="00310551"/>
    <w:rsid w:val="00310D04"/>
    <w:rsid w:val="00311514"/>
    <w:rsid w:val="00312C4F"/>
    <w:rsid w:val="00312F49"/>
    <w:rsid w:val="00313119"/>
    <w:rsid w:val="00313233"/>
    <w:rsid w:val="0031524B"/>
    <w:rsid w:val="0031554E"/>
    <w:rsid w:val="00316C7F"/>
    <w:rsid w:val="00317D30"/>
    <w:rsid w:val="0032126D"/>
    <w:rsid w:val="00321866"/>
    <w:rsid w:val="0032227B"/>
    <w:rsid w:val="003223D3"/>
    <w:rsid w:val="00322493"/>
    <w:rsid w:val="003241E3"/>
    <w:rsid w:val="00324A8C"/>
    <w:rsid w:val="00325484"/>
    <w:rsid w:val="00326563"/>
    <w:rsid w:val="00326950"/>
    <w:rsid w:val="00327AAD"/>
    <w:rsid w:val="00327B73"/>
    <w:rsid w:val="00330094"/>
    <w:rsid w:val="00330421"/>
    <w:rsid w:val="0033061B"/>
    <w:rsid w:val="00330D57"/>
    <w:rsid w:val="00331A00"/>
    <w:rsid w:val="003322A0"/>
    <w:rsid w:val="00333174"/>
    <w:rsid w:val="0033328D"/>
    <w:rsid w:val="003332ED"/>
    <w:rsid w:val="0033391E"/>
    <w:rsid w:val="00334A02"/>
    <w:rsid w:val="003353BE"/>
    <w:rsid w:val="00335737"/>
    <w:rsid w:val="00335898"/>
    <w:rsid w:val="00335EA6"/>
    <w:rsid w:val="00336A16"/>
    <w:rsid w:val="00337A68"/>
    <w:rsid w:val="00337B82"/>
    <w:rsid w:val="00340099"/>
    <w:rsid w:val="00340415"/>
    <w:rsid w:val="00340F0B"/>
    <w:rsid w:val="003412A7"/>
    <w:rsid w:val="00341414"/>
    <w:rsid w:val="003440A7"/>
    <w:rsid w:val="00344241"/>
    <w:rsid w:val="003447C2"/>
    <w:rsid w:val="003458A8"/>
    <w:rsid w:val="00345E0F"/>
    <w:rsid w:val="00346E99"/>
    <w:rsid w:val="00347449"/>
    <w:rsid w:val="0034764F"/>
    <w:rsid w:val="0035101B"/>
    <w:rsid w:val="00351B24"/>
    <w:rsid w:val="00351EF8"/>
    <w:rsid w:val="003526D7"/>
    <w:rsid w:val="0035287A"/>
    <w:rsid w:val="00352B02"/>
    <w:rsid w:val="0035319C"/>
    <w:rsid w:val="003532A7"/>
    <w:rsid w:val="00354A2A"/>
    <w:rsid w:val="00354BF9"/>
    <w:rsid w:val="00356295"/>
    <w:rsid w:val="00356A0C"/>
    <w:rsid w:val="00356D75"/>
    <w:rsid w:val="0035758F"/>
    <w:rsid w:val="003576C8"/>
    <w:rsid w:val="00357958"/>
    <w:rsid w:val="00362355"/>
    <w:rsid w:val="00362B31"/>
    <w:rsid w:val="00363DFC"/>
    <w:rsid w:val="00363FA7"/>
    <w:rsid w:val="00364CA1"/>
    <w:rsid w:val="003655B0"/>
    <w:rsid w:val="00365EAC"/>
    <w:rsid w:val="003661C7"/>
    <w:rsid w:val="00366408"/>
    <w:rsid w:val="003671BC"/>
    <w:rsid w:val="003677D5"/>
    <w:rsid w:val="003705F8"/>
    <w:rsid w:val="00370B89"/>
    <w:rsid w:val="00371620"/>
    <w:rsid w:val="003716F7"/>
    <w:rsid w:val="00371E0C"/>
    <w:rsid w:val="003753AF"/>
    <w:rsid w:val="00375888"/>
    <w:rsid w:val="00375F13"/>
    <w:rsid w:val="003779F2"/>
    <w:rsid w:val="00377EC8"/>
    <w:rsid w:val="00377F9E"/>
    <w:rsid w:val="00380AA6"/>
    <w:rsid w:val="00380BAC"/>
    <w:rsid w:val="00381D3F"/>
    <w:rsid w:val="00381F85"/>
    <w:rsid w:val="003846E5"/>
    <w:rsid w:val="00384FBD"/>
    <w:rsid w:val="00384FD0"/>
    <w:rsid w:val="00387028"/>
    <w:rsid w:val="00387473"/>
    <w:rsid w:val="00387EB6"/>
    <w:rsid w:val="00390B53"/>
    <w:rsid w:val="00391418"/>
    <w:rsid w:val="00391D6F"/>
    <w:rsid w:val="00391EF3"/>
    <w:rsid w:val="0039350E"/>
    <w:rsid w:val="00393916"/>
    <w:rsid w:val="00393EC0"/>
    <w:rsid w:val="00394165"/>
    <w:rsid w:val="00395041"/>
    <w:rsid w:val="003959AC"/>
    <w:rsid w:val="00396DBC"/>
    <w:rsid w:val="00397009"/>
    <w:rsid w:val="003979F8"/>
    <w:rsid w:val="003A1279"/>
    <w:rsid w:val="003A1451"/>
    <w:rsid w:val="003A19DB"/>
    <w:rsid w:val="003A1E4F"/>
    <w:rsid w:val="003A217D"/>
    <w:rsid w:val="003A2635"/>
    <w:rsid w:val="003A2F10"/>
    <w:rsid w:val="003A3B21"/>
    <w:rsid w:val="003A4B51"/>
    <w:rsid w:val="003A4BE0"/>
    <w:rsid w:val="003A563A"/>
    <w:rsid w:val="003A56CC"/>
    <w:rsid w:val="003A5FD0"/>
    <w:rsid w:val="003A6C00"/>
    <w:rsid w:val="003A78AD"/>
    <w:rsid w:val="003A79A0"/>
    <w:rsid w:val="003A7E31"/>
    <w:rsid w:val="003B1DAC"/>
    <w:rsid w:val="003B35D0"/>
    <w:rsid w:val="003B496E"/>
    <w:rsid w:val="003B4A74"/>
    <w:rsid w:val="003B4BB3"/>
    <w:rsid w:val="003B5184"/>
    <w:rsid w:val="003B615A"/>
    <w:rsid w:val="003B69D0"/>
    <w:rsid w:val="003C1046"/>
    <w:rsid w:val="003C11B3"/>
    <w:rsid w:val="003C176E"/>
    <w:rsid w:val="003C1F67"/>
    <w:rsid w:val="003C2481"/>
    <w:rsid w:val="003C265A"/>
    <w:rsid w:val="003C2AD6"/>
    <w:rsid w:val="003C31A5"/>
    <w:rsid w:val="003C3E37"/>
    <w:rsid w:val="003C4B4E"/>
    <w:rsid w:val="003C6053"/>
    <w:rsid w:val="003C608B"/>
    <w:rsid w:val="003C60A4"/>
    <w:rsid w:val="003C7D66"/>
    <w:rsid w:val="003D0298"/>
    <w:rsid w:val="003D0882"/>
    <w:rsid w:val="003D2A54"/>
    <w:rsid w:val="003D3505"/>
    <w:rsid w:val="003D3D7A"/>
    <w:rsid w:val="003D4401"/>
    <w:rsid w:val="003D5508"/>
    <w:rsid w:val="003D579C"/>
    <w:rsid w:val="003D5E1B"/>
    <w:rsid w:val="003D635B"/>
    <w:rsid w:val="003D69B1"/>
    <w:rsid w:val="003D6BCE"/>
    <w:rsid w:val="003D7267"/>
    <w:rsid w:val="003D7399"/>
    <w:rsid w:val="003E0231"/>
    <w:rsid w:val="003E065B"/>
    <w:rsid w:val="003E0F6A"/>
    <w:rsid w:val="003E101A"/>
    <w:rsid w:val="003E24B0"/>
    <w:rsid w:val="003E25D7"/>
    <w:rsid w:val="003E467C"/>
    <w:rsid w:val="003E4AE2"/>
    <w:rsid w:val="003E4DB1"/>
    <w:rsid w:val="003E5FC8"/>
    <w:rsid w:val="003F0F3B"/>
    <w:rsid w:val="003F1D5A"/>
    <w:rsid w:val="003F24DE"/>
    <w:rsid w:val="003F275D"/>
    <w:rsid w:val="003F2C35"/>
    <w:rsid w:val="003F40A7"/>
    <w:rsid w:val="003F42C6"/>
    <w:rsid w:val="003F42F5"/>
    <w:rsid w:val="003F4716"/>
    <w:rsid w:val="003F4AA2"/>
    <w:rsid w:val="003F4FA8"/>
    <w:rsid w:val="003F5052"/>
    <w:rsid w:val="003F53DB"/>
    <w:rsid w:val="003F584F"/>
    <w:rsid w:val="003F5972"/>
    <w:rsid w:val="003F6334"/>
    <w:rsid w:val="003F7A49"/>
    <w:rsid w:val="00400629"/>
    <w:rsid w:val="00400DE1"/>
    <w:rsid w:val="00401496"/>
    <w:rsid w:val="004016E4"/>
    <w:rsid w:val="00401C7D"/>
    <w:rsid w:val="00403747"/>
    <w:rsid w:val="004038B5"/>
    <w:rsid w:val="00403C9D"/>
    <w:rsid w:val="00404624"/>
    <w:rsid w:val="00405BAB"/>
    <w:rsid w:val="0040604A"/>
    <w:rsid w:val="004110D1"/>
    <w:rsid w:val="00411435"/>
    <w:rsid w:val="00411641"/>
    <w:rsid w:val="004122A2"/>
    <w:rsid w:val="00412A34"/>
    <w:rsid w:val="00412F1F"/>
    <w:rsid w:val="00414104"/>
    <w:rsid w:val="00414248"/>
    <w:rsid w:val="0041443F"/>
    <w:rsid w:val="0041448D"/>
    <w:rsid w:val="00414856"/>
    <w:rsid w:val="00415607"/>
    <w:rsid w:val="00416122"/>
    <w:rsid w:val="004167DE"/>
    <w:rsid w:val="00416DAD"/>
    <w:rsid w:val="00416F05"/>
    <w:rsid w:val="0041717D"/>
    <w:rsid w:val="0042072E"/>
    <w:rsid w:val="004215ED"/>
    <w:rsid w:val="00421C56"/>
    <w:rsid w:val="00422EEF"/>
    <w:rsid w:val="00423624"/>
    <w:rsid w:val="004246DC"/>
    <w:rsid w:val="00425259"/>
    <w:rsid w:val="00425B29"/>
    <w:rsid w:val="00427014"/>
    <w:rsid w:val="00427C2D"/>
    <w:rsid w:val="0043001C"/>
    <w:rsid w:val="00430352"/>
    <w:rsid w:val="00430933"/>
    <w:rsid w:val="0043266F"/>
    <w:rsid w:val="004338D7"/>
    <w:rsid w:val="004339E0"/>
    <w:rsid w:val="0043430E"/>
    <w:rsid w:val="00434CA2"/>
    <w:rsid w:val="0043717A"/>
    <w:rsid w:val="00440416"/>
    <w:rsid w:val="00440EA6"/>
    <w:rsid w:val="0044139B"/>
    <w:rsid w:val="004415E5"/>
    <w:rsid w:val="00441F61"/>
    <w:rsid w:val="00442A3E"/>
    <w:rsid w:val="00444311"/>
    <w:rsid w:val="00445103"/>
    <w:rsid w:val="00446A8A"/>
    <w:rsid w:val="00453088"/>
    <w:rsid w:val="004534E3"/>
    <w:rsid w:val="00453933"/>
    <w:rsid w:val="00453D83"/>
    <w:rsid w:val="00454A95"/>
    <w:rsid w:val="00454DB2"/>
    <w:rsid w:val="00455563"/>
    <w:rsid w:val="00455C70"/>
    <w:rsid w:val="00456467"/>
    <w:rsid w:val="004571EA"/>
    <w:rsid w:val="00457A02"/>
    <w:rsid w:val="00457DF3"/>
    <w:rsid w:val="00460516"/>
    <w:rsid w:val="004617D1"/>
    <w:rsid w:val="00462C63"/>
    <w:rsid w:val="00464348"/>
    <w:rsid w:val="004645F3"/>
    <w:rsid w:val="00465765"/>
    <w:rsid w:val="004658CE"/>
    <w:rsid w:val="004669EC"/>
    <w:rsid w:val="00467D28"/>
    <w:rsid w:val="00470740"/>
    <w:rsid w:val="00470C87"/>
    <w:rsid w:val="00470D53"/>
    <w:rsid w:val="00470DEE"/>
    <w:rsid w:val="0047111D"/>
    <w:rsid w:val="00471BA0"/>
    <w:rsid w:val="004725CC"/>
    <w:rsid w:val="00473632"/>
    <w:rsid w:val="00474CC7"/>
    <w:rsid w:val="0047557B"/>
    <w:rsid w:val="00475809"/>
    <w:rsid w:val="00476A07"/>
    <w:rsid w:val="004771AB"/>
    <w:rsid w:val="004800ED"/>
    <w:rsid w:val="00480CC0"/>
    <w:rsid w:val="0048119C"/>
    <w:rsid w:val="00481EFE"/>
    <w:rsid w:val="0048306E"/>
    <w:rsid w:val="00483BC6"/>
    <w:rsid w:val="00484074"/>
    <w:rsid w:val="00484BBC"/>
    <w:rsid w:val="00484D39"/>
    <w:rsid w:val="00486076"/>
    <w:rsid w:val="004863AD"/>
    <w:rsid w:val="004865DF"/>
    <w:rsid w:val="0048679C"/>
    <w:rsid w:val="00486B3F"/>
    <w:rsid w:val="00487628"/>
    <w:rsid w:val="00490C4B"/>
    <w:rsid w:val="00490D25"/>
    <w:rsid w:val="0049241A"/>
    <w:rsid w:val="00494585"/>
    <w:rsid w:val="00494A0B"/>
    <w:rsid w:val="004963CD"/>
    <w:rsid w:val="00496D53"/>
    <w:rsid w:val="0049763E"/>
    <w:rsid w:val="00497F65"/>
    <w:rsid w:val="004A01B6"/>
    <w:rsid w:val="004A0E61"/>
    <w:rsid w:val="004A1050"/>
    <w:rsid w:val="004A34CD"/>
    <w:rsid w:val="004A7349"/>
    <w:rsid w:val="004A7EC3"/>
    <w:rsid w:val="004B0114"/>
    <w:rsid w:val="004B112F"/>
    <w:rsid w:val="004B197A"/>
    <w:rsid w:val="004B3215"/>
    <w:rsid w:val="004B32F8"/>
    <w:rsid w:val="004B388B"/>
    <w:rsid w:val="004B4AF8"/>
    <w:rsid w:val="004B698B"/>
    <w:rsid w:val="004B7AA8"/>
    <w:rsid w:val="004B7F2D"/>
    <w:rsid w:val="004C1502"/>
    <w:rsid w:val="004C15CF"/>
    <w:rsid w:val="004C1779"/>
    <w:rsid w:val="004C1C8D"/>
    <w:rsid w:val="004C1DDF"/>
    <w:rsid w:val="004C28AB"/>
    <w:rsid w:val="004C2EB3"/>
    <w:rsid w:val="004C2EE4"/>
    <w:rsid w:val="004C36EB"/>
    <w:rsid w:val="004C376A"/>
    <w:rsid w:val="004C3A9A"/>
    <w:rsid w:val="004C4DEE"/>
    <w:rsid w:val="004C743D"/>
    <w:rsid w:val="004C7644"/>
    <w:rsid w:val="004C79D9"/>
    <w:rsid w:val="004C79DC"/>
    <w:rsid w:val="004D061C"/>
    <w:rsid w:val="004D0B75"/>
    <w:rsid w:val="004D15AB"/>
    <w:rsid w:val="004D17FD"/>
    <w:rsid w:val="004D1840"/>
    <w:rsid w:val="004D1D1D"/>
    <w:rsid w:val="004D265D"/>
    <w:rsid w:val="004D47DB"/>
    <w:rsid w:val="004D52CA"/>
    <w:rsid w:val="004D5972"/>
    <w:rsid w:val="004D5B9F"/>
    <w:rsid w:val="004D74D3"/>
    <w:rsid w:val="004D79DF"/>
    <w:rsid w:val="004E02F6"/>
    <w:rsid w:val="004E037F"/>
    <w:rsid w:val="004E1309"/>
    <w:rsid w:val="004E135F"/>
    <w:rsid w:val="004E1C88"/>
    <w:rsid w:val="004E1D10"/>
    <w:rsid w:val="004E2D98"/>
    <w:rsid w:val="004E3831"/>
    <w:rsid w:val="004E38FA"/>
    <w:rsid w:val="004E3DA5"/>
    <w:rsid w:val="004E45F0"/>
    <w:rsid w:val="004E5C6E"/>
    <w:rsid w:val="004E63FD"/>
    <w:rsid w:val="004E7226"/>
    <w:rsid w:val="004E733B"/>
    <w:rsid w:val="004E73D2"/>
    <w:rsid w:val="004E754C"/>
    <w:rsid w:val="004E7CB3"/>
    <w:rsid w:val="004E7E79"/>
    <w:rsid w:val="004F1F97"/>
    <w:rsid w:val="004F22C0"/>
    <w:rsid w:val="004F280D"/>
    <w:rsid w:val="004F2B24"/>
    <w:rsid w:val="004F3232"/>
    <w:rsid w:val="004F3D35"/>
    <w:rsid w:val="004F41CC"/>
    <w:rsid w:val="004F4BEB"/>
    <w:rsid w:val="004F4C42"/>
    <w:rsid w:val="004F53C2"/>
    <w:rsid w:val="004F582B"/>
    <w:rsid w:val="004F5C8A"/>
    <w:rsid w:val="004F6070"/>
    <w:rsid w:val="004F643F"/>
    <w:rsid w:val="004F67D9"/>
    <w:rsid w:val="004F6D54"/>
    <w:rsid w:val="00500E76"/>
    <w:rsid w:val="0050132D"/>
    <w:rsid w:val="00502153"/>
    <w:rsid w:val="00502664"/>
    <w:rsid w:val="00502CE6"/>
    <w:rsid w:val="0050351C"/>
    <w:rsid w:val="00503893"/>
    <w:rsid w:val="00504763"/>
    <w:rsid w:val="00504D33"/>
    <w:rsid w:val="00506AD3"/>
    <w:rsid w:val="0050778B"/>
    <w:rsid w:val="00507D22"/>
    <w:rsid w:val="00510149"/>
    <w:rsid w:val="005104C2"/>
    <w:rsid w:val="00510CAE"/>
    <w:rsid w:val="00511607"/>
    <w:rsid w:val="00512076"/>
    <w:rsid w:val="00512FEF"/>
    <w:rsid w:val="005136F5"/>
    <w:rsid w:val="00513BC2"/>
    <w:rsid w:val="0051541A"/>
    <w:rsid w:val="00515EB9"/>
    <w:rsid w:val="00516745"/>
    <w:rsid w:val="0051780E"/>
    <w:rsid w:val="00517CC9"/>
    <w:rsid w:val="00517D24"/>
    <w:rsid w:val="00517D2E"/>
    <w:rsid w:val="00520347"/>
    <w:rsid w:val="00522105"/>
    <w:rsid w:val="00522675"/>
    <w:rsid w:val="00522DD5"/>
    <w:rsid w:val="00522F8F"/>
    <w:rsid w:val="00523259"/>
    <w:rsid w:val="0052373D"/>
    <w:rsid w:val="00524F27"/>
    <w:rsid w:val="00525249"/>
    <w:rsid w:val="005259D6"/>
    <w:rsid w:val="005303C6"/>
    <w:rsid w:val="005304A7"/>
    <w:rsid w:val="00530625"/>
    <w:rsid w:val="00532139"/>
    <w:rsid w:val="00533A0B"/>
    <w:rsid w:val="00534255"/>
    <w:rsid w:val="005356F6"/>
    <w:rsid w:val="00537473"/>
    <w:rsid w:val="0053777C"/>
    <w:rsid w:val="005400C6"/>
    <w:rsid w:val="005404C7"/>
    <w:rsid w:val="00540621"/>
    <w:rsid w:val="0054151B"/>
    <w:rsid w:val="00541590"/>
    <w:rsid w:val="00541AB7"/>
    <w:rsid w:val="0054370D"/>
    <w:rsid w:val="005466D1"/>
    <w:rsid w:val="00547727"/>
    <w:rsid w:val="00550C8C"/>
    <w:rsid w:val="00550FE8"/>
    <w:rsid w:val="00551491"/>
    <w:rsid w:val="00551699"/>
    <w:rsid w:val="00551C16"/>
    <w:rsid w:val="005529BD"/>
    <w:rsid w:val="00553EAD"/>
    <w:rsid w:val="00554566"/>
    <w:rsid w:val="00554B4B"/>
    <w:rsid w:val="005552B7"/>
    <w:rsid w:val="00556A1A"/>
    <w:rsid w:val="0055729A"/>
    <w:rsid w:val="00557ACA"/>
    <w:rsid w:val="0056096E"/>
    <w:rsid w:val="00560FDC"/>
    <w:rsid w:val="005616AD"/>
    <w:rsid w:val="005659FE"/>
    <w:rsid w:val="00565E3F"/>
    <w:rsid w:val="00567FE4"/>
    <w:rsid w:val="00571129"/>
    <w:rsid w:val="00572570"/>
    <w:rsid w:val="0057294E"/>
    <w:rsid w:val="00573E3D"/>
    <w:rsid w:val="005745BA"/>
    <w:rsid w:val="005748DD"/>
    <w:rsid w:val="00574CA3"/>
    <w:rsid w:val="00574D75"/>
    <w:rsid w:val="005756F5"/>
    <w:rsid w:val="00575CFD"/>
    <w:rsid w:val="00576322"/>
    <w:rsid w:val="005766D8"/>
    <w:rsid w:val="00577333"/>
    <w:rsid w:val="005774F6"/>
    <w:rsid w:val="00577965"/>
    <w:rsid w:val="0058034F"/>
    <w:rsid w:val="0058036D"/>
    <w:rsid w:val="0058068A"/>
    <w:rsid w:val="005810D1"/>
    <w:rsid w:val="00582897"/>
    <w:rsid w:val="00582AF8"/>
    <w:rsid w:val="00582C88"/>
    <w:rsid w:val="00583D7E"/>
    <w:rsid w:val="00583DFE"/>
    <w:rsid w:val="005843B4"/>
    <w:rsid w:val="00584716"/>
    <w:rsid w:val="00584BA0"/>
    <w:rsid w:val="0058568E"/>
    <w:rsid w:val="00585C41"/>
    <w:rsid w:val="00586389"/>
    <w:rsid w:val="0058666A"/>
    <w:rsid w:val="005869C3"/>
    <w:rsid w:val="00586D3D"/>
    <w:rsid w:val="00590C15"/>
    <w:rsid w:val="005914FE"/>
    <w:rsid w:val="005919A5"/>
    <w:rsid w:val="005920B6"/>
    <w:rsid w:val="00593C53"/>
    <w:rsid w:val="00597CE6"/>
    <w:rsid w:val="00597D94"/>
    <w:rsid w:val="005A0259"/>
    <w:rsid w:val="005A103F"/>
    <w:rsid w:val="005A36FA"/>
    <w:rsid w:val="005A3E9A"/>
    <w:rsid w:val="005A3FC1"/>
    <w:rsid w:val="005A428C"/>
    <w:rsid w:val="005A7136"/>
    <w:rsid w:val="005A7910"/>
    <w:rsid w:val="005A7CA8"/>
    <w:rsid w:val="005B0002"/>
    <w:rsid w:val="005B126D"/>
    <w:rsid w:val="005B12AA"/>
    <w:rsid w:val="005B2759"/>
    <w:rsid w:val="005B372E"/>
    <w:rsid w:val="005B678C"/>
    <w:rsid w:val="005B7257"/>
    <w:rsid w:val="005B72F9"/>
    <w:rsid w:val="005B7F25"/>
    <w:rsid w:val="005C0B92"/>
    <w:rsid w:val="005C0BAD"/>
    <w:rsid w:val="005C177C"/>
    <w:rsid w:val="005C1AC7"/>
    <w:rsid w:val="005C1F9A"/>
    <w:rsid w:val="005C39D3"/>
    <w:rsid w:val="005C3D51"/>
    <w:rsid w:val="005C4097"/>
    <w:rsid w:val="005C52B2"/>
    <w:rsid w:val="005C54CB"/>
    <w:rsid w:val="005C5B7C"/>
    <w:rsid w:val="005C5D86"/>
    <w:rsid w:val="005C5EF9"/>
    <w:rsid w:val="005C683F"/>
    <w:rsid w:val="005C691B"/>
    <w:rsid w:val="005C6ED0"/>
    <w:rsid w:val="005D1557"/>
    <w:rsid w:val="005D2669"/>
    <w:rsid w:val="005D2FA7"/>
    <w:rsid w:val="005D3642"/>
    <w:rsid w:val="005D39DF"/>
    <w:rsid w:val="005D4E47"/>
    <w:rsid w:val="005D54D5"/>
    <w:rsid w:val="005D5581"/>
    <w:rsid w:val="005D5779"/>
    <w:rsid w:val="005D5B78"/>
    <w:rsid w:val="005D615C"/>
    <w:rsid w:val="005D640F"/>
    <w:rsid w:val="005D7C63"/>
    <w:rsid w:val="005E09BD"/>
    <w:rsid w:val="005E12AB"/>
    <w:rsid w:val="005E17F0"/>
    <w:rsid w:val="005E1F7D"/>
    <w:rsid w:val="005E218F"/>
    <w:rsid w:val="005E2A16"/>
    <w:rsid w:val="005E3065"/>
    <w:rsid w:val="005E32B1"/>
    <w:rsid w:val="005E3CF3"/>
    <w:rsid w:val="005E4717"/>
    <w:rsid w:val="005E5F54"/>
    <w:rsid w:val="005E6041"/>
    <w:rsid w:val="005E6799"/>
    <w:rsid w:val="005E6BEE"/>
    <w:rsid w:val="005E7912"/>
    <w:rsid w:val="005F0975"/>
    <w:rsid w:val="005F10C4"/>
    <w:rsid w:val="005F137B"/>
    <w:rsid w:val="005F1C70"/>
    <w:rsid w:val="005F1EB6"/>
    <w:rsid w:val="005F382B"/>
    <w:rsid w:val="005F388E"/>
    <w:rsid w:val="005F4699"/>
    <w:rsid w:val="005F4EA6"/>
    <w:rsid w:val="005F5010"/>
    <w:rsid w:val="005F6EDC"/>
    <w:rsid w:val="005F701D"/>
    <w:rsid w:val="005F7170"/>
    <w:rsid w:val="005F7B20"/>
    <w:rsid w:val="006004C2"/>
    <w:rsid w:val="006009C0"/>
    <w:rsid w:val="00600F66"/>
    <w:rsid w:val="006014CF"/>
    <w:rsid w:val="006016E3"/>
    <w:rsid w:val="00601D65"/>
    <w:rsid w:val="00601EC2"/>
    <w:rsid w:val="00603196"/>
    <w:rsid w:val="00603304"/>
    <w:rsid w:val="00603D8D"/>
    <w:rsid w:val="00605706"/>
    <w:rsid w:val="00606731"/>
    <w:rsid w:val="00606D50"/>
    <w:rsid w:val="00611ABF"/>
    <w:rsid w:val="00611BE7"/>
    <w:rsid w:val="0061220F"/>
    <w:rsid w:val="006124E8"/>
    <w:rsid w:val="00613FD7"/>
    <w:rsid w:val="00615182"/>
    <w:rsid w:val="006161DB"/>
    <w:rsid w:val="00616D0E"/>
    <w:rsid w:val="00621309"/>
    <w:rsid w:val="006223CF"/>
    <w:rsid w:val="00622BAE"/>
    <w:rsid w:val="00622EC6"/>
    <w:rsid w:val="00623E84"/>
    <w:rsid w:val="00624311"/>
    <w:rsid w:val="00624C1A"/>
    <w:rsid w:val="00625547"/>
    <w:rsid w:val="006255C3"/>
    <w:rsid w:val="006258E9"/>
    <w:rsid w:val="00626347"/>
    <w:rsid w:val="00626577"/>
    <w:rsid w:val="00627F22"/>
    <w:rsid w:val="0063124E"/>
    <w:rsid w:val="00632C8C"/>
    <w:rsid w:val="006330EF"/>
    <w:rsid w:val="006332DF"/>
    <w:rsid w:val="0063384F"/>
    <w:rsid w:val="00633A52"/>
    <w:rsid w:val="00634478"/>
    <w:rsid w:val="00634726"/>
    <w:rsid w:val="0063480C"/>
    <w:rsid w:val="006352AE"/>
    <w:rsid w:val="0063543D"/>
    <w:rsid w:val="00637B6D"/>
    <w:rsid w:val="00640196"/>
    <w:rsid w:val="006406CB"/>
    <w:rsid w:val="0064207E"/>
    <w:rsid w:val="00642347"/>
    <w:rsid w:val="00642E65"/>
    <w:rsid w:val="00642F23"/>
    <w:rsid w:val="00643AF1"/>
    <w:rsid w:val="00644230"/>
    <w:rsid w:val="0064466D"/>
    <w:rsid w:val="00645137"/>
    <w:rsid w:val="006454EF"/>
    <w:rsid w:val="00645C32"/>
    <w:rsid w:val="006464CB"/>
    <w:rsid w:val="0064687E"/>
    <w:rsid w:val="0064691D"/>
    <w:rsid w:val="00646BA3"/>
    <w:rsid w:val="00647031"/>
    <w:rsid w:val="006471EB"/>
    <w:rsid w:val="0064743A"/>
    <w:rsid w:val="00647FAC"/>
    <w:rsid w:val="00650962"/>
    <w:rsid w:val="00651093"/>
    <w:rsid w:val="0065214B"/>
    <w:rsid w:val="006525CD"/>
    <w:rsid w:val="00653031"/>
    <w:rsid w:val="0065332C"/>
    <w:rsid w:val="006549BA"/>
    <w:rsid w:val="006567CE"/>
    <w:rsid w:val="006569FD"/>
    <w:rsid w:val="0065760E"/>
    <w:rsid w:val="006578A0"/>
    <w:rsid w:val="00657CA6"/>
    <w:rsid w:val="0066093D"/>
    <w:rsid w:val="00661DD3"/>
    <w:rsid w:val="006634DF"/>
    <w:rsid w:val="0066401C"/>
    <w:rsid w:val="00664711"/>
    <w:rsid w:val="00665558"/>
    <w:rsid w:val="0066556C"/>
    <w:rsid w:val="00665C19"/>
    <w:rsid w:val="006664E7"/>
    <w:rsid w:val="00666BDA"/>
    <w:rsid w:val="00667401"/>
    <w:rsid w:val="00667542"/>
    <w:rsid w:val="00670B51"/>
    <w:rsid w:val="00670C06"/>
    <w:rsid w:val="0067288D"/>
    <w:rsid w:val="0067289F"/>
    <w:rsid w:val="00673883"/>
    <w:rsid w:val="00673A80"/>
    <w:rsid w:val="00673DAF"/>
    <w:rsid w:val="006753E8"/>
    <w:rsid w:val="006766CF"/>
    <w:rsid w:val="006775C3"/>
    <w:rsid w:val="00681AC0"/>
    <w:rsid w:val="00681CB9"/>
    <w:rsid w:val="006823B9"/>
    <w:rsid w:val="0068396F"/>
    <w:rsid w:val="00684293"/>
    <w:rsid w:val="0068438A"/>
    <w:rsid w:val="00684781"/>
    <w:rsid w:val="00685D5B"/>
    <w:rsid w:val="006860E9"/>
    <w:rsid w:val="00686A3F"/>
    <w:rsid w:val="0068779E"/>
    <w:rsid w:val="00687A49"/>
    <w:rsid w:val="00690D6D"/>
    <w:rsid w:val="0069161A"/>
    <w:rsid w:val="00691828"/>
    <w:rsid w:val="00691DF1"/>
    <w:rsid w:val="006925AE"/>
    <w:rsid w:val="006925B7"/>
    <w:rsid w:val="00692F8C"/>
    <w:rsid w:val="006945C4"/>
    <w:rsid w:val="00694994"/>
    <w:rsid w:val="00694BDF"/>
    <w:rsid w:val="00696840"/>
    <w:rsid w:val="0069691A"/>
    <w:rsid w:val="00696B48"/>
    <w:rsid w:val="006979E7"/>
    <w:rsid w:val="00697D3C"/>
    <w:rsid w:val="006A0ACA"/>
    <w:rsid w:val="006A2138"/>
    <w:rsid w:val="006A23DE"/>
    <w:rsid w:val="006A35F7"/>
    <w:rsid w:val="006A47CC"/>
    <w:rsid w:val="006A5757"/>
    <w:rsid w:val="006A5D67"/>
    <w:rsid w:val="006A64FA"/>
    <w:rsid w:val="006A6963"/>
    <w:rsid w:val="006A74AE"/>
    <w:rsid w:val="006A74FD"/>
    <w:rsid w:val="006A7DD3"/>
    <w:rsid w:val="006B03CA"/>
    <w:rsid w:val="006B089F"/>
    <w:rsid w:val="006B0F66"/>
    <w:rsid w:val="006B2CE5"/>
    <w:rsid w:val="006B312D"/>
    <w:rsid w:val="006B3265"/>
    <w:rsid w:val="006B34C8"/>
    <w:rsid w:val="006B41F9"/>
    <w:rsid w:val="006B45B0"/>
    <w:rsid w:val="006B45D9"/>
    <w:rsid w:val="006B5B3A"/>
    <w:rsid w:val="006B5BF5"/>
    <w:rsid w:val="006B63B1"/>
    <w:rsid w:val="006B65D5"/>
    <w:rsid w:val="006B6E09"/>
    <w:rsid w:val="006B6E87"/>
    <w:rsid w:val="006B6FD5"/>
    <w:rsid w:val="006B723A"/>
    <w:rsid w:val="006B7915"/>
    <w:rsid w:val="006B7B3E"/>
    <w:rsid w:val="006B7F4B"/>
    <w:rsid w:val="006C0A73"/>
    <w:rsid w:val="006C0B79"/>
    <w:rsid w:val="006C196E"/>
    <w:rsid w:val="006C27BA"/>
    <w:rsid w:val="006C367C"/>
    <w:rsid w:val="006C37BB"/>
    <w:rsid w:val="006C3989"/>
    <w:rsid w:val="006C3D0B"/>
    <w:rsid w:val="006C4FB0"/>
    <w:rsid w:val="006C6429"/>
    <w:rsid w:val="006C78E8"/>
    <w:rsid w:val="006C7DF1"/>
    <w:rsid w:val="006D0B72"/>
    <w:rsid w:val="006D25CA"/>
    <w:rsid w:val="006D3E0A"/>
    <w:rsid w:val="006D42B2"/>
    <w:rsid w:val="006D542F"/>
    <w:rsid w:val="006D5D62"/>
    <w:rsid w:val="006D6AE6"/>
    <w:rsid w:val="006D708D"/>
    <w:rsid w:val="006E009D"/>
    <w:rsid w:val="006E02C6"/>
    <w:rsid w:val="006E0311"/>
    <w:rsid w:val="006E1503"/>
    <w:rsid w:val="006E1698"/>
    <w:rsid w:val="006E183F"/>
    <w:rsid w:val="006E1978"/>
    <w:rsid w:val="006E19AD"/>
    <w:rsid w:val="006E1B93"/>
    <w:rsid w:val="006E2232"/>
    <w:rsid w:val="006E2A9D"/>
    <w:rsid w:val="006E3790"/>
    <w:rsid w:val="006E426D"/>
    <w:rsid w:val="006E479A"/>
    <w:rsid w:val="006E47FE"/>
    <w:rsid w:val="006E4F25"/>
    <w:rsid w:val="006E520C"/>
    <w:rsid w:val="006E5BF8"/>
    <w:rsid w:val="006E69A4"/>
    <w:rsid w:val="006E7200"/>
    <w:rsid w:val="006E72F8"/>
    <w:rsid w:val="006F024A"/>
    <w:rsid w:val="006F0F3D"/>
    <w:rsid w:val="006F2EB8"/>
    <w:rsid w:val="006F4BF4"/>
    <w:rsid w:val="006F5000"/>
    <w:rsid w:val="006F5AF0"/>
    <w:rsid w:val="006F5CC7"/>
    <w:rsid w:val="006F644C"/>
    <w:rsid w:val="006F663F"/>
    <w:rsid w:val="006F71EE"/>
    <w:rsid w:val="006F73D0"/>
    <w:rsid w:val="00700D0C"/>
    <w:rsid w:val="00700F35"/>
    <w:rsid w:val="00700FE3"/>
    <w:rsid w:val="00702421"/>
    <w:rsid w:val="00702AD3"/>
    <w:rsid w:val="00702B8D"/>
    <w:rsid w:val="007033A6"/>
    <w:rsid w:val="00703655"/>
    <w:rsid w:val="00703A3F"/>
    <w:rsid w:val="00704298"/>
    <w:rsid w:val="00704B5C"/>
    <w:rsid w:val="00704EB7"/>
    <w:rsid w:val="007058D0"/>
    <w:rsid w:val="007074FC"/>
    <w:rsid w:val="0070772A"/>
    <w:rsid w:val="007133F3"/>
    <w:rsid w:val="00713417"/>
    <w:rsid w:val="007136E5"/>
    <w:rsid w:val="007141BF"/>
    <w:rsid w:val="007150A6"/>
    <w:rsid w:val="007152DA"/>
    <w:rsid w:val="00716E48"/>
    <w:rsid w:val="007172B9"/>
    <w:rsid w:val="007200C5"/>
    <w:rsid w:val="00720257"/>
    <w:rsid w:val="007225BB"/>
    <w:rsid w:val="00722A7B"/>
    <w:rsid w:val="00723301"/>
    <w:rsid w:val="00724236"/>
    <w:rsid w:val="0072492E"/>
    <w:rsid w:val="00724ABA"/>
    <w:rsid w:val="00724ECC"/>
    <w:rsid w:val="007258D9"/>
    <w:rsid w:val="0072632E"/>
    <w:rsid w:val="007267A6"/>
    <w:rsid w:val="00726D3B"/>
    <w:rsid w:val="00726FBF"/>
    <w:rsid w:val="00727345"/>
    <w:rsid w:val="00727B20"/>
    <w:rsid w:val="00727B8C"/>
    <w:rsid w:val="0073090D"/>
    <w:rsid w:val="007312BF"/>
    <w:rsid w:val="0073155A"/>
    <w:rsid w:val="0073382D"/>
    <w:rsid w:val="00733A78"/>
    <w:rsid w:val="00733CE9"/>
    <w:rsid w:val="00733FF3"/>
    <w:rsid w:val="00734540"/>
    <w:rsid w:val="00734AFC"/>
    <w:rsid w:val="00735253"/>
    <w:rsid w:val="0073533F"/>
    <w:rsid w:val="00735750"/>
    <w:rsid w:val="00735988"/>
    <w:rsid w:val="00736C3F"/>
    <w:rsid w:val="00740BBD"/>
    <w:rsid w:val="00740C5F"/>
    <w:rsid w:val="00740C60"/>
    <w:rsid w:val="00740CBC"/>
    <w:rsid w:val="00741529"/>
    <w:rsid w:val="00741FAA"/>
    <w:rsid w:val="00742205"/>
    <w:rsid w:val="007431BD"/>
    <w:rsid w:val="0074404F"/>
    <w:rsid w:val="007460C5"/>
    <w:rsid w:val="00746C3A"/>
    <w:rsid w:val="007479E2"/>
    <w:rsid w:val="007501FA"/>
    <w:rsid w:val="0075068A"/>
    <w:rsid w:val="007514BD"/>
    <w:rsid w:val="007521B8"/>
    <w:rsid w:val="00753621"/>
    <w:rsid w:val="00753B74"/>
    <w:rsid w:val="00755F84"/>
    <w:rsid w:val="00756549"/>
    <w:rsid w:val="00756738"/>
    <w:rsid w:val="00756BB6"/>
    <w:rsid w:val="00757E92"/>
    <w:rsid w:val="00760FB2"/>
    <w:rsid w:val="00761EA9"/>
    <w:rsid w:val="007620D4"/>
    <w:rsid w:val="007629F7"/>
    <w:rsid w:val="00763106"/>
    <w:rsid w:val="007636B3"/>
    <w:rsid w:val="00764119"/>
    <w:rsid w:val="00764FCE"/>
    <w:rsid w:val="00765097"/>
    <w:rsid w:val="00765A74"/>
    <w:rsid w:val="00765A87"/>
    <w:rsid w:val="00766497"/>
    <w:rsid w:val="00766AAB"/>
    <w:rsid w:val="00766D40"/>
    <w:rsid w:val="007703A8"/>
    <w:rsid w:val="00770F30"/>
    <w:rsid w:val="00771B22"/>
    <w:rsid w:val="00771F46"/>
    <w:rsid w:val="00772773"/>
    <w:rsid w:val="00773107"/>
    <w:rsid w:val="0077314F"/>
    <w:rsid w:val="00773154"/>
    <w:rsid w:val="00773706"/>
    <w:rsid w:val="00774A0A"/>
    <w:rsid w:val="00774EC0"/>
    <w:rsid w:val="00776BFA"/>
    <w:rsid w:val="00777080"/>
    <w:rsid w:val="00777847"/>
    <w:rsid w:val="00777A0E"/>
    <w:rsid w:val="007809CC"/>
    <w:rsid w:val="00781766"/>
    <w:rsid w:val="007818CE"/>
    <w:rsid w:val="00781904"/>
    <w:rsid w:val="007824AE"/>
    <w:rsid w:val="007824C6"/>
    <w:rsid w:val="00782684"/>
    <w:rsid w:val="007826FE"/>
    <w:rsid w:val="00782DBD"/>
    <w:rsid w:val="0078395E"/>
    <w:rsid w:val="007849AB"/>
    <w:rsid w:val="00784D6A"/>
    <w:rsid w:val="00785D49"/>
    <w:rsid w:val="007860D9"/>
    <w:rsid w:val="0078718D"/>
    <w:rsid w:val="0078739C"/>
    <w:rsid w:val="007877F8"/>
    <w:rsid w:val="00790DA8"/>
    <w:rsid w:val="00791627"/>
    <w:rsid w:val="007919CB"/>
    <w:rsid w:val="00791BB5"/>
    <w:rsid w:val="00791D3B"/>
    <w:rsid w:val="00791D7A"/>
    <w:rsid w:val="0079204E"/>
    <w:rsid w:val="00792256"/>
    <w:rsid w:val="007925E2"/>
    <w:rsid w:val="0079313D"/>
    <w:rsid w:val="00793398"/>
    <w:rsid w:val="00793997"/>
    <w:rsid w:val="00796808"/>
    <w:rsid w:val="00796981"/>
    <w:rsid w:val="007A0807"/>
    <w:rsid w:val="007A0D1E"/>
    <w:rsid w:val="007A132F"/>
    <w:rsid w:val="007A13F0"/>
    <w:rsid w:val="007A1A6B"/>
    <w:rsid w:val="007A21FD"/>
    <w:rsid w:val="007A2541"/>
    <w:rsid w:val="007A2953"/>
    <w:rsid w:val="007A3C4B"/>
    <w:rsid w:val="007A447C"/>
    <w:rsid w:val="007A5C1D"/>
    <w:rsid w:val="007A5FF0"/>
    <w:rsid w:val="007A5FFC"/>
    <w:rsid w:val="007A630F"/>
    <w:rsid w:val="007A6A39"/>
    <w:rsid w:val="007A6AB0"/>
    <w:rsid w:val="007A6B6A"/>
    <w:rsid w:val="007A73AB"/>
    <w:rsid w:val="007A76EB"/>
    <w:rsid w:val="007B0C0F"/>
    <w:rsid w:val="007B0C51"/>
    <w:rsid w:val="007B15C7"/>
    <w:rsid w:val="007B377D"/>
    <w:rsid w:val="007B3ED9"/>
    <w:rsid w:val="007B4C11"/>
    <w:rsid w:val="007B658F"/>
    <w:rsid w:val="007B6BE5"/>
    <w:rsid w:val="007B74EA"/>
    <w:rsid w:val="007B7C7A"/>
    <w:rsid w:val="007C007A"/>
    <w:rsid w:val="007C170F"/>
    <w:rsid w:val="007C3575"/>
    <w:rsid w:val="007C4E33"/>
    <w:rsid w:val="007C5441"/>
    <w:rsid w:val="007C68C4"/>
    <w:rsid w:val="007D13C7"/>
    <w:rsid w:val="007D2FAF"/>
    <w:rsid w:val="007D3509"/>
    <w:rsid w:val="007D3914"/>
    <w:rsid w:val="007D62CE"/>
    <w:rsid w:val="007D6885"/>
    <w:rsid w:val="007D7887"/>
    <w:rsid w:val="007D7EBD"/>
    <w:rsid w:val="007D7EFB"/>
    <w:rsid w:val="007E018C"/>
    <w:rsid w:val="007E01DF"/>
    <w:rsid w:val="007E095A"/>
    <w:rsid w:val="007E0B17"/>
    <w:rsid w:val="007E0FCB"/>
    <w:rsid w:val="007E1066"/>
    <w:rsid w:val="007E10CE"/>
    <w:rsid w:val="007E1C01"/>
    <w:rsid w:val="007E2783"/>
    <w:rsid w:val="007E2842"/>
    <w:rsid w:val="007E2A15"/>
    <w:rsid w:val="007E2EE0"/>
    <w:rsid w:val="007E33AA"/>
    <w:rsid w:val="007E3B87"/>
    <w:rsid w:val="007E47A9"/>
    <w:rsid w:val="007E5655"/>
    <w:rsid w:val="007E722C"/>
    <w:rsid w:val="007E7DAC"/>
    <w:rsid w:val="007E7ECE"/>
    <w:rsid w:val="007F0D64"/>
    <w:rsid w:val="007F27B3"/>
    <w:rsid w:val="007F30EC"/>
    <w:rsid w:val="007F3861"/>
    <w:rsid w:val="007F423E"/>
    <w:rsid w:val="007F4894"/>
    <w:rsid w:val="007F5999"/>
    <w:rsid w:val="007F59B9"/>
    <w:rsid w:val="007F5E51"/>
    <w:rsid w:val="007F65BC"/>
    <w:rsid w:val="007F69F4"/>
    <w:rsid w:val="007F6EB0"/>
    <w:rsid w:val="007F6F80"/>
    <w:rsid w:val="007F7265"/>
    <w:rsid w:val="007F73D9"/>
    <w:rsid w:val="00800318"/>
    <w:rsid w:val="0080084D"/>
    <w:rsid w:val="0080151D"/>
    <w:rsid w:val="00802B68"/>
    <w:rsid w:val="00802C85"/>
    <w:rsid w:val="00803356"/>
    <w:rsid w:val="0080381E"/>
    <w:rsid w:val="00804184"/>
    <w:rsid w:val="00804748"/>
    <w:rsid w:val="0080482B"/>
    <w:rsid w:val="008052D9"/>
    <w:rsid w:val="00805CCA"/>
    <w:rsid w:val="008064FD"/>
    <w:rsid w:val="00806F75"/>
    <w:rsid w:val="008075F4"/>
    <w:rsid w:val="00811BDE"/>
    <w:rsid w:val="008127EA"/>
    <w:rsid w:val="00812D45"/>
    <w:rsid w:val="00813054"/>
    <w:rsid w:val="00813DDE"/>
    <w:rsid w:val="0081425C"/>
    <w:rsid w:val="00814AE3"/>
    <w:rsid w:val="00815E9E"/>
    <w:rsid w:val="00815EBD"/>
    <w:rsid w:val="00816A28"/>
    <w:rsid w:val="00816F6F"/>
    <w:rsid w:val="00817192"/>
    <w:rsid w:val="0081720D"/>
    <w:rsid w:val="0082036D"/>
    <w:rsid w:val="0082095C"/>
    <w:rsid w:val="00820B53"/>
    <w:rsid w:val="00820B5E"/>
    <w:rsid w:val="00821ABF"/>
    <w:rsid w:val="00821C74"/>
    <w:rsid w:val="008220E0"/>
    <w:rsid w:val="00822891"/>
    <w:rsid w:val="00822BA5"/>
    <w:rsid w:val="00822BB4"/>
    <w:rsid w:val="00822D7B"/>
    <w:rsid w:val="00822E43"/>
    <w:rsid w:val="00823C95"/>
    <w:rsid w:val="00824545"/>
    <w:rsid w:val="008258E3"/>
    <w:rsid w:val="00826910"/>
    <w:rsid w:val="00827295"/>
    <w:rsid w:val="00827C22"/>
    <w:rsid w:val="00827F12"/>
    <w:rsid w:val="008306E6"/>
    <w:rsid w:val="0083123E"/>
    <w:rsid w:val="00833AA1"/>
    <w:rsid w:val="00834441"/>
    <w:rsid w:val="00834F40"/>
    <w:rsid w:val="00835A18"/>
    <w:rsid w:val="00835B09"/>
    <w:rsid w:val="008362B5"/>
    <w:rsid w:val="00836664"/>
    <w:rsid w:val="00836D61"/>
    <w:rsid w:val="00837732"/>
    <w:rsid w:val="008377F4"/>
    <w:rsid w:val="00837B5E"/>
    <w:rsid w:val="00837E5D"/>
    <w:rsid w:val="0084012A"/>
    <w:rsid w:val="0084213E"/>
    <w:rsid w:val="008433E6"/>
    <w:rsid w:val="0084381A"/>
    <w:rsid w:val="00843D88"/>
    <w:rsid w:val="00844328"/>
    <w:rsid w:val="00845BB7"/>
    <w:rsid w:val="00846241"/>
    <w:rsid w:val="0084642B"/>
    <w:rsid w:val="008478EF"/>
    <w:rsid w:val="00850D50"/>
    <w:rsid w:val="00850F24"/>
    <w:rsid w:val="008514B0"/>
    <w:rsid w:val="00852B5F"/>
    <w:rsid w:val="008538C3"/>
    <w:rsid w:val="00853B34"/>
    <w:rsid w:val="00853E9D"/>
    <w:rsid w:val="008545F4"/>
    <w:rsid w:val="00854655"/>
    <w:rsid w:val="00854702"/>
    <w:rsid w:val="00855CFD"/>
    <w:rsid w:val="00855F26"/>
    <w:rsid w:val="00857539"/>
    <w:rsid w:val="008607F0"/>
    <w:rsid w:val="008615C9"/>
    <w:rsid w:val="008619D4"/>
    <w:rsid w:val="00861CA3"/>
    <w:rsid w:val="0086200D"/>
    <w:rsid w:val="00862010"/>
    <w:rsid w:val="00862427"/>
    <w:rsid w:val="008634EC"/>
    <w:rsid w:val="008637E5"/>
    <w:rsid w:val="00863CFF"/>
    <w:rsid w:val="0086422A"/>
    <w:rsid w:val="00864E54"/>
    <w:rsid w:val="00865A93"/>
    <w:rsid w:val="00866463"/>
    <w:rsid w:val="008672FE"/>
    <w:rsid w:val="00867A13"/>
    <w:rsid w:val="00867C85"/>
    <w:rsid w:val="00867DCD"/>
    <w:rsid w:val="008713A7"/>
    <w:rsid w:val="00871A63"/>
    <w:rsid w:val="00872441"/>
    <w:rsid w:val="0087298E"/>
    <w:rsid w:val="00872AF9"/>
    <w:rsid w:val="00872D96"/>
    <w:rsid w:val="008749DB"/>
    <w:rsid w:val="00876036"/>
    <w:rsid w:val="008763E0"/>
    <w:rsid w:val="0088068C"/>
    <w:rsid w:val="00880EF0"/>
    <w:rsid w:val="00881052"/>
    <w:rsid w:val="00881B08"/>
    <w:rsid w:val="0088391F"/>
    <w:rsid w:val="00886982"/>
    <w:rsid w:val="00887E5C"/>
    <w:rsid w:val="00895E36"/>
    <w:rsid w:val="0089793C"/>
    <w:rsid w:val="008A1A04"/>
    <w:rsid w:val="008A2089"/>
    <w:rsid w:val="008A2CED"/>
    <w:rsid w:val="008A35DA"/>
    <w:rsid w:val="008A4DBD"/>
    <w:rsid w:val="008A59FD"/>
    <w:rsid w:val="008A69A7"/>
    <w:rsid w:val="008A6F1C"/>
    <w:rsid w:val="008A703B"/>
    <w:rsid w:val="008A7694"/>
    <w:rsid w:val="008A7AD7"/>
    <w:rsid w:val="008B146B"/>
    <w:rsid w:val="008B1F90"/>
    <w:rsid w:val="008B2391"/>
    <w:rsid w:val="008B2E90"/>
    <w:rsid w:val="008B2F12"/>
    <w:rsid w:val="008B48DF"/>
    <w:rsid w:val="008B4BEE"/>
    <w:rsid w:val="008B59D2"/>
    <w:rsid w:val="008B5A97"/>
    <w:rsid w:val="008B7A46"/>
    <w:rsid w:val="008C02D7"/>
    <w:rsid w:val="008C05D7"/>
    <w:rsid w:val="008C19CC"/>
    <w:rsid w:val="008C1C12"/>
    <w:rsid w:val="008C2329"/>
    <w:rsid w:val="008C24EA"/>
    <w:rsid w:val="008C30E6"/>
    <w:rsid w:val="008C497E"/>
    <w:rsid w:val="008C560A"/>
    <w:rsid w:val="008C5ACD"/>
    <w:rsid w:val="008C5B81"/>
    <w:rsid w:val="008C683C"/>
    <w:rsid w:val="008C69CC"/>
    <w:rsid w:val="008C700B"/>
    <w:rsid w:val="008C73C1"/>
    <w:rsid w:val="008D0D26"/>
    <w:rsid w:val="008D0E6A"/>
    <w:rsid w:val="008D1760"/>
    <w:rsid w:val="008D241B"/>
    <w:rsid w:val="008D2CC3"/>
    <w:rsid w:val="008D32FB"/>
    <w:rsid w:val="008D3FF7"/>
    <w:rsid w:val="008D5B4B"/>
    <w:rsid w:val="008D5ECA"/>
    <w:rsid w:val="008D62A8"/>
    <w:rsid w:val="008D658A"/>
    <w:rsid w:val="008D6867"/>
    <w:rsid w:val="008D7FD1"/>
    <w:rsid w:val="008E02E9"/>
    <w:rsid w:val="008E09A1"/>
    <w:rsid w:val="008E0C59"/>
    <w:rsid w:val="008E1CB5"/>
    <w:rsid w:val="008E3AD3"/>
    <w:rsid w:val="008E3B68"/>
    <w:rsid w:val="008E4532"/>
    <w:rsid w:val="008E4C5A"/>
    <w:rsid w:val="008E52E9"/>
    <w:rsid w:val="008E55D2"/>
    <w:rsid w:val="008E5777"/>
    <w:rsid w:val="008E5FAD"/>
    <w:rsid w:val="008F04ED"/>
    <w:rsid w:val="008F2BE5"/>
    <w:rsid w:val="008F3C00"/>
    <w:rsid w:val="008F3F7E"/>
    <w:rsid w:val="008F7373"/>
    <w:rsid w:val="009002D9"/>
    <w:rsid w:val="009019CF"/>
    <w:rsid w:val="00901DF0"/>
    <w:rsid w:val="00902BC7"/>
    <w:rsid w:val="0090300D"/>
    <w:rsid w:val="00903884"/>
    <w:rsid w:val="00904099"/>
    <w:rsid w:val="009043C0"/>
    <w:rsid w:val="00906202"/>
    <w:rsid w:val="0090666D"/>
    <w:rsid w:val="009076CB"/>
    <w:rsid w:val="009078B3"/>
    <w:rsid w:val="00907A78"/>
    <w:rsid w:val="009102B6"/>
    <w:rsid w:val="00911F0F"/>
    <w:rsid w:val="00912CF7"/>
    <w:rsid w:val="00912D82"/>
    <w:rsid w:val="00913E3F"/>
    <w:rsid w:val="00914369"/>
    <w:rsid w:val="00914638"/>
    <w:rsid w:val="00914C66"/>
    <w:rsid w:val="00916326"/>
    <w:rsid w:val="00916B02"/>
    <w:rsid w:val="00916C43"/>
    <w:rsid w:val="00917368"/>
    <w:rsid w:val="0091798E"/>
    <w:rsid w:val="0092058A"/>
    <w:rsid w:val="00920A05"/>
    <w:rsid w:val="0092142D"/>
    <w:rsid w:val="00922D3E"/>
    <w:rsid w:val="00922E5F"/>
    <w:rsid w:val="009239A4"/>
    <w:rsid w:val="00923B9B"/>
    <w:rsid w:val="00925881"/>
    <w:rsid w:val="009259DF"/>
    <w:rsid w:val="0092615A"/>
    <w:rsid w:val="0092685D"/>
    <w:rsid w:val="0093030D"/>
    <w:rsid w:val="00930577"/>
    <w:rsid w:val="009305D2"/>
    <w:rsid w:val="00930C2D"/>
    <w:rsid w:val="00930F54"/>
    <w:rsid w:val="0093198A"/>
    <w:rsid w:val="00932CFF"/>
    <w:rsid w:val="00932F73"/>
    <w:rsid w:val="00933619"/>
    <w:rsid w:val="00933670"/>
    <w:rsid w:val="00933F51"/>
    <w:rsid w:val="0093434F"/>
    <w:rsid w:val="00934A18"/>
    <w:rsid w:val="00934B7C"/>
    <w:rsid w:val="00936C05"/>
    <w:rsid w:val="00936D95"/>
    <w:rsid w:val="00937266"/>
    <w:rsid w:val="0094095A"/>
    <w:rsid w:val="00941A75"/>
    <w:rsid w:val="009420CD"/>
    <w:rsid w:val="00942469"/>
    <w:rsid w:val="00942E41"/>
    <w:rsid w:val="0094329C"/>
    <w:rsid w:val="009434DE"/>
    <w:rsid w:val="00944457"/>
    <w:rsid w:val="00944A8F"/>
    <w:rsid w:val="009452C2"/>
    <w:rsid w:val="00945BCA"/>
    <w:rsid w:val="00945ED3"/>
    <w:rsid w:val="00947AC5"/>
    <w:rsid w:val="0095059F"/>
    <w:rsid w:val="00950B2F"/>
    <w:rsid w:val="00950FDC"/>
    <w:rsid w:val="009517B3"/>
    <w:rsid w:val="00951A02"/>
    <w:rsid w:val="00954562"/>
    <w:rsid w:val="00954F29"/>
    <w:rsid w:val="00955199"/>
    <w:rsid w:val="00955855"/>
    <w:rsid w:val="00955AB2"/>
    <w:rsid w:val="0095741C"/>
    <w:rsid w:val="009576CA"/>
    <w:rsid w:val="00960326"/>
    <w:rsid w:val="0096092E"/>
    <w:rsid w:val="00960D50"/>
    <w:rsid w:val="00961C27"/>
    <w:rsid w:val="00961FD5"/>
    <w:rsid w:val="009621C6"/>
    <w:rsid w:val="00962629"/>
    <w:rsid w:val="0096405B"/>
    <w:rsid w:val="00964A60"/>
    <w:rsid w:val="00964DB3"/>
    <w:rsid w:val="00965363"/>
    <w:rsid w:val="009664F9"/>
    <w:rsid w:val="0096713E"/>
    <w:rsid w:val="00967957"/>
    <w:rsid w:val="00971B71"/>
    <w:rsid w:val="00971B73"/>
    <w:rsid w:val="00972472"/>
    <w:rsid w:val="00972C5B"/>
    <w:rsid w:val="009737E6"/>
    <w:rsid w:val="009739FF"/>
    <w:rsid w:val="00973A85"/>
    <w:rsid w:val="00973B4A"/>
    <w:rsid w:val="00974ECB"/>
    <w:rsid w:val="00975EC6"/>
    <w:rsid w:val="00977ED8"/>
    <w:rsid w:val="00981B4E"/>
    <w:rsid w:val="0098290C"/>
    <w:rsid w:val="0098298B"/>
    <w:rsid w:val="00983199"/>
    <w:rsid w:val="0098387D"/>
    <w:rsid w:val="00984501"/>
    <w:rsid w:val="009848C5"/>
    <w:rsid w:val="009849E6"/>
    <w:rsid w:val="00985AC9"/>
    <w:rsid w:val="00985C03"/>
    <w:rsid w:val="00985D1A"/>
    <w:rsid w:val="00987807"/>
    <w:rsid w:val="00990A6B"/>
    <w:rsid w:val="00991392"/>
    <w:rsid w:val="009913D6"/>
    <w:rsid w:val="0099239C"/>
    <w:rsid w:val="0099243C"/>
    <w:rsid w:val="009924BB"/>
    <w:rsid w:val="009926FF"/>
    <w:rsid w:val="00995903"/>
    <w:rsid w:val="009964A3"/>
    <w:rsid w:val="00996AAC"/>
    <w:rsid w:val="009978CC"/>
    <w:rsid w:val="009A1914"/>
    <w:rsid w:val="009A4734"/>
    <w:rsid w:val="009A4794"/>
    <w:rsid w:val="009A48DC"/>
    <w:rsid w:val="009A5F0C"/>
    <w:rsid w:val="009A6F99"/>
    <w:rsid w:val="009A74B7"/>
    <w:rsid w:val="009B1C20"/>
    <w:rsid w:val="009B2416"/>
    <w:rsid w:val="009B3384"/>
    <w:rsid w:val="009B348E"/>
    <w:rsid w:val="009B4FE5"/>
    <w:rsid w:val="009B56AF"/>
    <w:rsid w:val="009B6575"/>
    <w:rsid w:val="009B6640"/>
    <w:rsid w:val="009B66B6"/>
    <w:rsid w:val="009C07AB"/>
    <w:rsid w:val="009C0AE3"/>
    <w:rsid w:val="009C13E6"/>
    <w:rsid w:val="009C1D60"/>
    <w:rsid w:val="009C25FC"/>
    <w:rsid w:val="009C2885"/>
    <w:rsid w:val="009C2A8A"/>
    <w:rsid w:val="009C2FAE"/>
    <w:rsid w:val="009C33E9"/>
    <w:rsid w:val="009C50FF"/>
    <w:rsid w:val="009C617B"/>
    <w:rsid w:val="009C6592"/>
    <w:rsid w:val="009C6C66"/>
    <w:rsid w:val="009C7170"/>
    <w:rsid w:val="009C7AA7"/>
    <w:rsid w:val="009C7E2C"/>
    <w:rsid w:val="009D1760"/>
    <w:rsid w:val="009D1A82"/>
    <w:rsid w:val="009D2313"/>
    <w:rsid w:val="009D32C2"/>
    <w:rsid w:val="009D3CF2"/>
    <w:rsid w:val="009D4A83"/>
    <w:rsid w:val="009D5125"/>
    <w:rsid w:val="009D7DEA"/>
    <w:rsid w:val="009E0424"/>
    <w:rsid w:val="009E1147"/>
    <w:rsid w:val="009E11E6"/>
    <w:rsid w:val="009E1365"/>
    <w:rsid w:val="009E1D00"/>
    <w:rsid w:val="009E24BF"/>
    <w:rsid w:val="009E2867"/>
    <w:rsid w:val="009E2913"/>
    <w:rsid w:val="009E3547"/>
    <w:rsid w:val="009E3679"/>
    <w:rsid w:val="009E37C1"/>
    <w:rsid w:val="009E496E"/>
    <w:rsid w:val="009E4C6A"/>
    <w:rsid w:val="009E64A6"/>
    <w:rsid w:val="009E6AFA"/>
    <w:rsid w:val="009F0355"/>
    <w:rsid w:val="009F0D90"/>
    <w:rsid w:val="009F0DF6"/>
    <w:rsid w:val="009F1259"/>
    <w:rsid w:val="009F1702"/>
    <w:rsid w:val="009F34FB"/>
    <w:rsid w:val="009F61F9"/>
    <w:rsid w:val="009F6CA3"/>
    <w:rsid w:val="009F76B9"/>
    <w:rsid w:val="009F77B6"/>
    <w:rsid w:val="009F7B87"/>
    <w:rsid w:val="009F7BA6"/>
    <w:rsid w:val="00A00617"/>
    <w:rsid w:val="00A00679"/>
    <w:rsid w:val="00A00E6A"/>
    <w:rsid w:val="00A0115D"/>
    <w:rsid w:val="00A01F03"/>
    <w:rsid w:val="00A02227"/>
    <w:rsid w:val="00A0225A"/>
    <w:rsid w:val="00A022E7"/>
    <w:rsid w:val="00A02313"/>
    <w:rsid w:val="00A026D5"/>
    <w:rsid w:val="00A0695D"/>
    <w:rsid w:val="00A07681"/>
    <w:rsid w:val="00A1082E"/>
    <w:rsid w:val="00A114CE"/>
    <w:rsid w:val="00A1304E"/>
    <w:rsid w:val="00A132D5"/>
    <w:rsid w:val="00A166F0"/>
    <w:rsid w:val="00A2023B"/>
    <w:rsid w:val="00A21287"/>
    <w:rsid w:val="00A21549"/>
    <w:rsid w:val="00A2267D"/>
    <w:rsid w:val="00A235BA"/>
    <w:rsid w:val="00A23E25"/>
    <w:rsid w:val="00A242D2"/>
    <w:rsid w:val="00A249BB"/>
    <w:rsid w:val="00A24AC6"/>
    <w:rsid w:val="00A25229"/>
    <w:rsid w:val="00A25608"/>
    <w:rsid w:val="00A25E20"/>
    <w:rsid w:val="00A261B4"/>
    <w:rsid w:val="00A2775B"/>
    <w:rsid w:val="00A30CC3"/>
    <w:rsid w:val="00A31296"/>
    <w:rsid w:val="00A31AE2"/>
    <w:rsid w:val="00A31C72"/>
    <w:rsid w:val="00A32867"/>
    <w:rsid w:val="00A33F89"/>
    <w:rsid w:val="00A34916"/>
    <w:rsid w:val="00A34EAB"/>
    <w:rsid w:val="00A35176"/>
    <w:rsid w:val="00A35BF7"/>
    <w:rsid w:val="00A3629B"/>
    <w:rsid w:val="00A366FB"/>
    <w:rsid w:val="00A3702A"/>
    <w:rsid w:val="00A415FF"/>
    <w:rsid w:val="00A43099"/>
    <w:rsid w:val="00A43578"/>
    <w:rsid w:val="00A438DD"/>
    <w:rsid w:val="00A44B0D"/>
    <w:rsid w:val="00A44D85"/>
    <w:rsid w:val="00A46133"/>
    <w:rsid w:val="00A469A7"/>
    <w:rsid w:val="00A476A7"/>
    <w:rsid w:val="00A504E6"/>
    <w:rsid w:val="00A50DE3"/>
    <w:rsid w:val="00A51CF3"/>
    <w:rsid w:val="00A5318A"/>
    <w:rsid w:val="00A53636"/>
    <w:rsid w:val="00A56199"/>
    <w:rsid w:val="00A56FA4"/>
    <w:rsid w:val="00A57565"/>
    <w:rsid w:val="00A60810"/>
    <w:rsid w:val="00A61180"/>
    <w:rsid w:val="00A61377"/>
    <w:rsid w:val="00A61557"/>
    <w:rsid w:val="00A61A14"/>
    <w:rsid w:val="00A62A72"/>
    <w:rsid w:val="00A63AA2"/>
    <w:rsid w:val="00A64148"/>
    <w:rsid w:val="00A64565"/>
    <w:rsid w:val="00A64E82"/>
    <w:rsid w:val="00A662A1"/>
    <w:rsid w:val="00A662BC"/>
    <w:rsid w:val="00A6654A"/>
    <w:rsid w:val="00A709FE"/>
    <w:rsid w:val="00A71098"/>
    <w:rsid w:val="00A710F1"/>
    <w:rsid w:val="00A716F7"/>
    <w:rsid w:val="00A718FF"/>
    <w:rsid w:val="00A71A2F"/>
    <w:rsid w:val="00A7221C"/>
    <w:rsid w:val="00A7425A"/>
    <w:rsid w:val="00A74650"/>
    <w:rsid w:val="00A752F4"/>
    <w:rsid w:val="00A756AB"/>
    <w:rsid w:val="00A756B4"/>
    <w:rsid w:val="00A75B90"/>
    <w:rsid w:val="00A7646B"/>
    <w:rsid w:val="00A776E9"/>
    <w:rsid w:val="00A77CF9"/>
    <w:rsid w:val="00A8003D"/>
    <w:rsid w:val="00A80174"/>
    <w:rsid w:val="00A8080F"/>
    <w:rsid w:val="00A80B8A"/>
    <w:rsid w:val="00A824C9"/>
    <w:rsid w:val="00A831FD"/>
    <w:rsid w:val="00A8331D"/>
    <w:rsid w:val="00A83948"/>
    <w:rsid w:val="00A84E85"/>
    <w:rsid w:val="00A85450"/>
    <w:rsid w:val="00A86449"/>
    <w:rsid w:val="00A90B4B"/>
    <w:rsid w:val="00A91438"/>
    <w:rsid w:val="00A91565"/>
    <w:rsid w:val="00A91870"/>
    <w:rsid w:val="00A9193B"/>
    <w:rsid w:val="00A92007"/>
    <w:rsid w:val="00A92609"/>
    <w:rsid w:val="00A93597"/>
    <w:rsid w:val="00A937F2"/>
    <w:rsid w:val="00A943C8"/>
    <w:rsid w:val="00A945E9"/>
    <w:rsid w:val="00A94C2F"/>
    <w:rsid w:val="00A94D16"/>
    <w:rsid w:val="00A94F92"/>
    <w:rsid w:val="00A95197"/>
    <w:rsid w:val="00A952CB"/>
    <w:rsid w:val="00A96496"/>
    <w:rsid w:val="00A96543"/>
    <w:rsid w:val="00A96ABD"/>
    <w:rsid w:val="00A97F37"/>
    <w:rsid w:val="00AA0C59"/>
    <w:rsid w:val="00AA1623"/>
    <w:rsid w:val="00AA1AF8"/>
    <w:rsid w:val="00AA270D"/>
    <w:rsid w:val="00AA2F61"/>
    <w:rsid w:val="00AA3D8D"/>
    <w:rsid w:val="00AA4693"/>
    <w:rsid w:val="00AA4DAC"/>
    <w:rsid w:val="00AA53F6"/>
    <w:rsid w:val="00AA5607"/>
    <w:rsid w:val="00AA6242"/>
    <w:rsid w:val="00AA715B"/>
    <w:rsid w:val="00AA7C1C"/>
    <w:rsid w:val="00AA7EE4"/>
    <w:rsid w:val="00AB1779"/>
    <w:rsid w:val="00AB1DC5"/>
    <w:rsid w:val="00AB203A"/>
    <w:rsid w:val="00AB237C"/>
    <w:rsid w:val="00AB2412"/>
    <w:rsid w:val="00AB2763"/>
    <w:rsid w:val="00AB2C96"/>
    <w:rsid w:val="00AB2E28"/>
    <w:rsid w:val="00AB420D"/>
    <w:rsid w:val="00AB4241"/>
    <w:rsid w:val="00AB548D"/>
    <w:rsid w:val="00AB5FCE"/>
    <w:rsid w:val="00AB6200"/>
    <w:rsid w:val="00AB6FB1"/>
    <w:rsid w:val="00AC00B2"/>
    <w:rsid w:val="00AC0E1E"/>
    <w:rsid w:val="00AC134E"/>
    <w:rsid w:val="00AC2486"/>
    <w:rsid w:val="00AC25EF"/>
    <w:rsid w:val="00AC354D"/>
    <w:rsid w:val="00AC378E"/>
    <w:rsid w:val="00AC40AD"/>
    <w:rsid w:val="00AC48C7"/>
    <w:rsid w:val="00AC4C36"/>
    <w:rsid w:val="00AC5319"/>
    <w:rsid w:val="00AC7526"/>
    <w:rsid w:val="00AC7A09"/>
    <w:rsid w:val="00AC7AC7"/>
    <w:rsid w:val="00AD065E"/>
    <w:rsid w:val="00AD1C8F"/>
    <w:rsid w:val="00AD1F9F"/>
    <w:rsid w:val="00AD5529"/>
    <w:rsid w:val="00AD58BA"/>
    <w:rsid w:val="00AD5F45"/>
    <w:rsid w:val="00AD606B"/>
    <w:rsid w:val="00AD617F"/>
    <w:rsid w:val="00AD6467"/>
    <w:rsid w:val="00AD6D5F"/>
    <w:rsid w:val="00AD6E0D"/>
    <w:rsid w:val="00AD7402"/>
    <w:rsid w:val="00AE042F"/>
    <w:rsid w:val="00AE0ECC"/>
    <w:rsid w:val="00AE121B"/>
    <w:rsid w:val="00AE3B21"/>
    <w:rsid w:val="00AE3D4B"/>
    <w:rsid w:val="00AE40ED"/>
    <w:rsid w:val="00AE480D"/>
    <w:rsid w:val="00AE607C"/>
    <w:rsid w:val="00AE7679"/>
    <w:rsid w:val="00AE7C9B"/>
    <w:rsid w:val="00AF0871"/>
    <w:rsid w:val="00AF0E4D"/>
    <w:rsid w:val="00AF1A17"/>
    <w:rsid w:val="00AF2387"/>
    <w:rsid w:val="00AF28BB"/>
    <w:rsid w:val="00AF3039"/>
    <w:rsid w:val="00AF3BBC"/>
    <w:rsid w:val="00AF4291"/>
    <w:rsid w:val="00AF4987"/>
    <w:rsid w:val="00AF56AE"/>
    <w:rsid w:val="00AF7215"/>
    <w:rsid w:val="00AF74B3"/>
    <w:rsid w:val="00AF787E"/>
    <w:rsid w:val="00B00D7F"/>
    <w:rsid w:val="00B00F1A"/>
    <w:rsid w:val="00B0141C"/>
    <w:rsid w:val="00B01DE7"/>
    <w:rsid w:val="00B02AE8"/>
    <w:rsid w:val="00B02B67"/>
    <w:rsid w:val="00B02B72"/>
    <w:rsid w:val="00B02FBE"/>
    <w:rsid w:val="00B03C36"/>
    <w:rsid w:val="00B042D1"/>
    <w:rsid w:val="00B077C7"/>
    <w:rsid w:val="00B07E72"/>
    <w:rsid w:val="00B11791"/>
    <w:rsid w:val="00B12AF3"/>
    <w:rsid w:val="00B13391"/>
    <w:rsid w:val="00B16099"/>
    <w:rsid w:val="00B160C1"/>
    <w:rsid w:val="00B160FF"/>
    <w:rsid w:val="00B16107"/>
    <w:rsid w:val="00B163F1"/>
    <w:rsid w:val="00B177AD"/>
    <w:rsid w:val="00B1783E"/>
    <w:rsid w:val="00B20410"/>
    <w:rsid w:val="00B215BC"/>
    <w:rsid w:val="00B22C58"/>
    <w:rsid w:val="00B237F5"/>
    <w:rsid w:val="00B23AF3"/>
    <w:rsid w:val="00B23B9A"/>
    <w:rsid w:val="00B25020"/>
    <w:rsid w:val="00B27238"/>
    <w:rsid w:val="00B27245"/>
    <w:rsid w:val="00B30523"/>
    <w:rsid w:val="00B31BA3"/>
    <w:rsid w:val="00B328C3"/>
    <w:rsid w:val="00B32D4D"/>
    <w:rsid w:val="00B344BA"/>
    <w:rsid w:val="00B35BBE"/>
    <w:rsid w:val="00B372B1"/>
    <w:rsid w:val="00B40CD4"/>
    <w:rsid w:val="00B421AB"/>
    <w:rsid w:val="00B42747"/>
    <w:rsid w:val="00B42AF0"/>
    <w:rsid w:val="00B42B04"/>
    <w:rsid w:val="00B42FFD"/>
    <w:rsid w:val="00B43243"/>
    <w:rsid w:val="00B4468E"/>
    <w:rsid w:val="00B447F3"/>
    <w:rsid w:val="00B470E9"/>
    <w:rsid w:val="00B503CC"/>
    <w:rsid w:val="00B5077C"/>
    <w:rsid w:val="00B5340D"/>
    <w:rsid w:val="00B53AC6"/>
    <w:rsid w:val="00B5411A"/>
    <w:rsid w:val="00B546AF"/>
    <w:rsid w:val="00B54795"/>
    <w:rsid w:val="00B550AC"/>
    <w:rsid w:val="00B55582"/>
    <w:rsid w:val="00B56727"/>
    <w:rsid w:val="00B56A69"/>
    <w:rsid w:val="00B61BF5"/>
    <w:rsid w:val="00B62C4A"/>
    <w:rsid w:val="00B63894"/>
    <w:rsid w:val="00B64986"/>
    <w:rsid w:val="00B6621F"/>
    <w:rsid w:val="00B6697F"/>
    <w:rsid w:val="00B66E99"/>
    <w:rsid w:val="00B67180"/>
    <w:rsid w:val="00B67D02"/>
    <w:rsid w:val="00B71257"/>
    <w:rsid w:val="00B71C1F"/>
    <w:rsid w:val="00B73F77"/>
    <w:rsid w:val="00B74ADF"/>
    <w:rsid w:val="00B75F33"/>
    <w:rsid w:val="00B764DB"/>
    <w:rsid w:val="00B7659C"/>
    <w:rsid w:val="00B77BB5"/>
    <w:rsid w:val="00B81EF3"/>
    <w:rsid w:val="00B82780"/>
    <w:rsid w:val="00B82C44"/>
    <w:rsid w:val="00B82DC8"/>
    <w:rsid w:val="00B83293"/>
    <w:rsid w:val="00B83535"/>
    <w:rsid w:val="00B872FF"/>
    <w:rsid w:val="00B903D2"/>
    <w:rsid w:val="00B9049A"/>
    <w:rsid w:val="00B90F1D"/>
    <w:rsid w:val="00B91D86"/>
    <w:rsid w:val="00B9211F"/>
    <w:rsid w:val="00B92B2B"/>
    <w:rsid w:val="00B93457"/>
    <w:rsid w:val="00B9555A"/>
    <w:rsid w:val="00B95C4B"/>
    <w:rsid w:val="00B95ED8"/>
    <w:rsid w:val="00B972A2"/>
    <w:rsid w:val="00B9791F"/>
    <w:rsid w:val="00BA0293"/>
    <w:rsid w:val="00BA06C4"/>
    <w:rsid w:val="00BA15A3"/>
    <w:rsid w:val="00BA1FED"/>
    <w:rsid w:val="00BA26E3"/>
    <w:rsid w:val="00BA3989"/>
    <w:rsid w:val="00BA5CCD"/>
    <w:rsid w:val="00BA6DA2"/>
    <w:rsid w:val="00BA7148"/>
    <w:rsid w:val="00BA71EA"/>
    <w:rsid w:val="00BB003F"/>
    <w:rsid w:val="00BB237A"/>
    <w:rsid w:val="00BB2E05"/>
    <w:rsid w:val="00BB30BD"/>
    <w:rsid w:val="00BB37CB"/>
    <w:rsid w:val="00BB4B6E"/>
    <w:rsid w:val="00BB534F"/>
    <w:rsid w:val="00BB60BD"/>
    <w:rsid w:val="00BB6506"/>
    <w:rsid w:val="00BB707F"/>
    <w:rsid w:val="00BB7748"/>
    <w:rsid w:val="00BC00FF"/>
    <w:rsid w:val="00BC0340"/>
    <w:rsid w:val="00BC1C5C"/>
    <w:rsid w:val="00BC265F"/>
    <w:rsid w:val="00BC2A9D"/>
    <w:rsid w:val="00BC2D77"/>
    <w:rsid w:val="00BC2F2C"/>
    <w:rsid w:val="00BC4EA7"/>
    <w:rsid w:val="00BC5C69"/>
    <w:rsid w:val="00BC5F2C"/>
    <w:rsid w:val="00BC6898"/>
    <w:rsid w:val="00BD09D0"/>
    <w:rsid w:val="00BD156A"/>
    <w:rsid w:val="00BD1D42"/>
    <w:rsid w:val="00BD1D93"/>
    <w:rsid w:val="00BD251F"/>
    <w:rsid w:val="00BD2FB1"/>
    <w:rsid w:val="00BD316B"/>
    <w:rsid w:val="00BD317B"/>
    <w:rsid w:val="00BD4754"/>
    <w:rsid w:val="00BD65F9"/>
    <w:rsid w:val="00BD6664"/>
    <w:rsid w:val="00BE0D3A"/>
    <w:rsid w:val="00BE1128"/>
    <w:rsid w:val="00BE119E"/>
    <w:rsid w:val="00BE1762"/>
    <w:rsid w:val="00BE227D"/>
    <w:rsid w:val="00BE2314"/>
    <w:rsid w:val="00BE244B"/>
    <w:rsid w:val="00BE2BEE"/>
    <w:rsid w:val="00BE2F59"/>
    <w:rsid w:val="00BE33E9"/>
    <w:rsid w:val="00BE38FA"/>
    <w:rsid w:val="00BE39EA"/>
    <w:rsid w:val="00BE4696"/>
    <w:rsid w:val="00BE55E8"/>
    <w:rsid w:val="00BE6F5E"/>
    <w:rsid w:val="00BF01D1"/>
    <w:rsid w:val="00BF047F"/>
    <w:rsid w:val="00BF10FA"/>
    <w:rsid w:val="00BF1A9E"/>
    <w:rsid w:val="00BF2179"/>
    <w:rsid w:val="00BF354C"/>
    <w:rsid w:val="00BF4065"/>
    <w:rsid w:val="00BF40C5"/>
    <w:rsid w:val="00BF416E"/>
    <w:rsid w:val="00BF42F9"/>
    <w:rsid w:val="00BF48BC"/>
    <w:rsid w:val="00BF505B"/>
    <w:rsid w:val="00BF5666"/>
    <w:rsid w:val="00BF604B"/>
    <w:rsid w:val="00C008B2"/>
    <w:rsid w:val="00C01A8E"/>
    <w:rsid w:val="00C026B1"/>
    <w:rsid w:val="00C026DF"/>
    <w:rsid w:val="00C02ECC"/>
    <w:rsid w:val="00C03A88"/>
    <w:rsid w:val="00C0483B"/>
    <w:rsid w:val="00C04BAF"/>
    <w:rsid w:val="00C05397"/>
    <w:rsid w:val="00C059B6"/>
    <w:rsid w:val="00C05B63"/>
    <w:rsid w:val="00C076F4"/>
    <w:rsid w:val="00C07EB0"/>
    <w:rsid w:val="00C111A2"/>
    <w:rsid w:val="00C12D20"/>
    <w:rsid w:val="00C138D2"/>
    <w:rsid w:val="00C17822"/>
    <w:rsid w:val="00C21745"/>
    <w:rsid w:val="00C2211F"/>
    <w:rsid w:val="00C22A64"/>
    <w:rsid w:val="00C23655"/>
    <w:rsid w:val="00C23B0F"/>
    <w:rsid w:val="00C240A4"/>
    <w:rsid w:val="00C2428B"/>
    <w:rsid w:val="00C24A6C"/>
    <w:rsid w:val="00C25489"/>
    <w:rsid w:val="00C2650E"/>
    <w:rsid w:val="00C32748"/>
    <w:rsid w:val="00C33017"/>
    <w:rsid w:val="00C33162"/>
    <w:rsid w:val="00C33702"/>
    <w:rsid w:val="00C33DF1"/>
    <w:rsid w:val="00C3413A"/>
    <w:rsid w:val="00C34F73"/>
    <w:rsid w:val="00C350B3"/>
    <w:rsid w:val="00C35F1A"/>
    <w:rsid w:val="00C362F5"/>
    <w:rsid w:val="00C36717"/>
    <w:rsid w:val="00C37F08"/>
    <w:rsid w:val="00C40BDA"/>
    <w:rsid w:val="00C41499"/>
    <w:rsid w:val="00C41DB0"/>
    <w:rsid w:val="00C42B7D"/>
    <w:rsid w:val="00C4374B"/>
    <w:rsid w:val="00C458E9"/>
    <w:rsid w:val="00C46D0F"/>
    <w:rsid w:val="00C47461"/>
    <w:rsid w:val="00C4767A"/>
    <w:rsid w:val="00C50767"/>
    <w:rsid w:val="00C511E5"/>
    <w:rsid w:val="00C52471"/>
    <w:rsid w:val="00C53035"/>
    <w:rsid w:val="00C546B7"/>
    <w:rsid w:val="00C56592"/>
    <w:rsid w:val="00C56C2D"/>
    <w:rsid w:val="00C57A0B"/>
    <w:rsid w:val="00C57E2D"/>
    <w:rsid w:val="00C605A7"/>
    <w:rsid w:val="00C60D73"/>
    <w:rsid w:val="00C61CF1"/>
    <w:rsid w:val="00C63316"/>
    <w:rsid w:val="00C64411"/>
    <w:rsid w:val="00C64D10"/>
    <w:rsid w:val="00C662A4"/>
    <w:rsid w:val="00C6640D"/>
    <w:rsid w:val="00C66820"/>
    <w:rsid w:val="00C669A2"/>
    <w:rsid w:val="00C6789D"/>
    <w:rsid w:val="00C67AC3"/>
    <w:rsid w:val="00C703AC"/>
    <w:rsid w:val="00C71E3A"/>
    <w:rsid w:val="00C73041"/>
    <w:rsid w:val="00C737DE"/>
    <w:rsid w:val="00C73A76"/>
    <w:rsid w:val="00C74D27"/>
    <w:rsid w:val="00C75732"/>
    <w:rsid w:val="00C763A3"/>
    <w:rsid w:val="00C76C3D"/>
    <w:rsid w:val="00C7766F"/>
    <w:rsid w:val="00C80546"/>
    <w:rsid w:val="00C8142E"/>
    <w:rsid w:val="00C814E7"/>
    <w:rsid w:val="00C820CF"/>
    <w:rsid w:val="00C8361D"/>
    <w:rsid w:val="00C85F3F"/>
    <w:rsid w:val="00C8636D"/>
    <w:rsid w:val="00C86903"/>
    <w:rsid w:val="00C86DD2"/>
    <w:rsid w:val="00C8793E"/>
    <w:rsid w:val="00C90517"/>
    <w:rsid w:val="00C907F6"/>
    <w:rsid w:val="00C9115C"/>
    <w:rsid w:val="00C926F7"/>
    <w:rsid w:val="00C9280C"/>
    <w:rsid w:val="00C94992"/>
    <w:rsid w:val="00C94B14"/>
    <w:rsid w:val="00C955E7"/>
    <w:rsid w:val="00C95856"/>
    <w:rsid w:val="00C95EEA"/>
    <w:rsid w:val="00C9699C"/>
    <w:rsid w:val="00C9699E"/>
    <w:rsid w:val="00C96F39"/>
    <w:rsid w:val="00C97481"/>
    <w:rsid w:val="00C97CBA"/>
    <w:rsid w:val="00CA0695"/>
    <w:rsid w:val="00CA0C9B"/>
    <w:rsid w:val="00CA351A"/>
    <w:rsid w:val="00CA49CC"/>
    <w:rsid w:val="00CA4B31"/>
    <w:rsid w:val="00CA5B41"/>
    <w:rsid w:val="00CA6024"/>
    <w:rsid w:val="00CA6076"/>
    <w:rsid w:val="00CA6FA1"/>
    <w:rsid w:val="00CA6FCB"/>
    <w:rsid w:val="00CA7536"/>
    <w:rsid w:val="00CB084D"/>
    <w:rsid w:val="00CB1036"/>
    <w:rsid w:val="00CB1C27"/>
    <w:rsid w:val="00CB2330"/>
    <w:rsid w:val="00CB24D9"/>
    <w:rsid w:val="00CB2F3D"/>
    <w:rsid w:val="00CB30F1"/>
    <w:rsid w:val="00CB329A"/>
    <w:rsid w:val="00CB356F"/>
    <w:rsid w:val="00CB4681"/>
    <w:rsid w:val="00CB54CF"/>
    <w:rsid w:val="00CB561D"/>
    <w:rsid w:val="00CB73CD"/>
    <w:rsid w:val="00CC1617"/>
    <w:rsid w:val="00CC2132"/>
    <w:rsid w:val="00CC3B7E"/>
    <w:rsid w:val="00CC462B"/>
    <w:rsid w:val="00CC4AEA"/>
    <w:rsid w:val="00CC712A"/>
    <w:rsid w:val="00CC77D7"/>
    <w:rsid w:val="00CC7D43"/>
    <w:rsid w:val="00CD03BB"/>
    <w:rsid w:val="00CD046C"/>
    <w:rsid w:val="00CD0789"/>
    <w:rsid w:val="00CD0D82"/>
    <w:rsid w:val="00CD0E74"/>
    <w:rsid w:val="00CD0EBA"/>
    <w:rsid w:val="00CD135B"/>
    <w:rsid w:val="00CD1C85"/>
    <w:rsid w:val="00CD2352"/>
    <w:rsid w:val="00CD4B4D"/>
    <w:rsid w:val="00CD4CF6"/>
    <w:rsid w:val="00CD4F73"/>
    <w:rsid w:val="00CD5041"/>
    <w:rsid w:val="00CD5AF8"/>
    <w:rsid w:val="00CE0896"/>
    <w:rsid w:val="00CE15C8"/>
    <w:rsid w:val="00CE16E2"/>
    <w:rsid w:val="00CE228E"/>
    <w:rsid w:val="00CE2B8A"/>
    <w:rsid w:val="00CE354B"/>
    <w:rsid w:val="00CE36FE"/>
    <w:rsid w:val="00CE4CB4"/>
    <w:rsid w:val="00CE4E51"/>
    <w:rsid w:val="00CE5FBC"/>
    <w:rsid w:val="00CE6710"/>
    <w:rsid w:val="00CE6C0E"/>
    <w:rsid w:val="00CE6FBE"/>
    <w:rsid w:val="00CE764F"/>
    <w:rsid w:val="00CF0AA2"/>
    <w:rsid w:val="00CF0B35"/>
    <w:rsid w:val="00CF1030"/>
    <w:rsid w:val="00CF1B09"/>
    <w:rsid w:val="00CF3474"/>
    <w:rsid w:val="00CF4213"/>
    <w:rsid w:val="00CF44D5"/>
    <w:rsid w:val="00CF4904"/>
    <w:rsid w:val="00CF66F0"/>
    <w:rsid w:val="00CF67B1"/>
    <w:rsid w:val="00CF7F35"/>
    <w:rsid w:val="00D01B39"/>
    <w:rsid w:val="00D02CA5"/>
    <w:rsid w:val="00D02CEB"/>
    <w:rsid w:val="00D0345E"/>
    <w:rsid w:val="00D04063"/>
    <w:rsid w:val="00D044B0"/>
    <w:rsid w:val="00D04C16"/>
    <w:rsid w:val="00D0542B"/>
    <w:rsid w:val="00D065B9"/>
    <w:rsid w:val="00D06C02"/>
    <w:rsid w:val="00D0712B"/>
    <w:rsid w:val="00D10863"/>
    <w:rsid w:val="00D1123E"/>
    <w:rsid w:val="00D12ABA"/>
    <w:rsid w:val="00D12FF7"/>
    <w:rsid w:val="00D1408B"/>
    <w:rsid w:val="00D147CB"/>
    <w:rsid w:val="00D14A39"/>
    <w:rsid w:val="00D14A60"/>
    <w:rsid w:val="00D1559E"/>
    <w:rsid w:val="00D15736"/>
    <w:rsid w:val="00D15B13"/>
    <w:rsid w:val="00D17A0C"/>
    <w:rsid w:val="00D20963"/>
    <w:rsid w:val="00D21CB0"/>
    <w:rsid w:val="00D22C8D"/>
    <w:rsid w:val="00D23F25"/>
    <w:rsid w:val="00D24030"/>
    <w:rsid w:val="00D24D2E"/>
    <w:rsid w:val="00D24EA2"/>
    <w:rsid w:val="00D274FD"/>
    <w:rsid w:val="00D27A56"/>
    <w:rsid w:val="00D303B6"/>
    <w:rsid w:val="00D30B48"/>
    <w:rsid w:val="00D31C7D"/>
    <w:rsid w:val="00D3250C"/>
    <w:rsid w:val="00D33990"/>
    <w:rsid w:val="00D33CBC"/>
    <w:rsid w:val="00D34193"/>
    <w:rsid w:val="00D345DD"/>
    <w:rsid w:val="00D351A0"/>
    <w:rsid w:val="00D35698"/>
    <w:rsid w:val="00D3580D"/>
    <w:rsid w:val="00D35BA7"/>
    <w:rsid w:val="00D36484"/>
    <w:rsid w:val="00D36BF8"/>
    <w:rsid w:val="00D36FB8"/>
    <w:rsid w:val="00D37187"/>
    <w:rsid w:val="00D4079F"/>
    <w:rsid w:val="00D40B9B"/>
    <w:rsid w:val="00D4133F"/>
    <w:rsid w:val="00D41841"/>
    <w:rsid w:val="00D4468B"/>
    <w:rsid w:val="00D45334"/>
    <w:rsid w:val="00D4747F"/>
    <w:rsid w:val="00D5104D"/>
    <w:rsid w:val="00D516F5"/>
    <w:rsid w:val="00D51770"/>
    <w:rsid w:val="00D51807"/>
    <w:rsid w:val="00D54E71"/>
    <w:rsid w:val="00D55C08"/>
    <w:rsid w:val="00D55E9F"/>
    <w:rsid w:val="00D56228"/>
    <w:rsid w:val="00D569EA"/>
    <w:rsid w:val="00D56C47"/>
    <w:rsid w:val="00D57D6E"/>
    <w:rsid w:val="00D60A2E"/>
    <w:rsid w:val="00D60CE9"/>
    <w:rsid w:val="00D62F85"/>
    <w:rsid w:val="00D636FD"/>
    <w:rsid w:val="00D64C21"/>
    <w:rsid w:val="00D65418"/>
    <w:rsid w:val="00D65BA3"/>
    <w:rsid w:val="00D66CCF"/>
    <w:rsid w:val="00D67329"/>
    <w:rsid w:val="00D6744C"/>
    <w:rsid w:val="00D67DCB"/>
    <w:rsid w:val="00D703A5"/>
    <w:rsid w:val="00D71A61"/>
    <w:rsid w:val="00D71B50"/>
    <w:rsid w:val="00D71B6F"/>
    <w:rsid w:val="00D728D5"/>
    <w:rsid w:val="00D7299D"/>
    <w:rsid w:val="00D72EAE"/>
    <w:rsid w:val="00D75186"/>
    <w:rsid w:val="00D76385"/>
    <w:rsid w:val="00D773FA"/>
    <w:rsid w:val="00D7746A"/>
    <w:rsid w:val="00D80471"/>
    <w:rsid w:val="00D81AC8"/>
    <w:rsid w:val="00D84AAD"/>
    <w:rsid w:val="00D855BF"/>
    <w:rsid w:val="00D858F7"/>
    <w:rsid w:val="00D85A92"/>
    <w:rsid w:val="00D861CC"/>
    <w:rsid w:val="00D8630B"/>
    <w:rsid w:val="00D8674D"/>
    <w:rsid w:val="00D877C8"/>
    <w:rsid w:val="00D904A2"/>
    <w:rsid w:val="00D905C8"/>
    <w:rsid w:val="00D906F0"/>
    <w:rsid w:val="00D90A87"/>
    <w:rsid w:val="00D91557"/>
    <w:rsid w:val="00D9207C"/>
    <w:rsid w:val="00D920C9"/>
    <w:rsid w:val="00D9311F"/>
    <w:rsid w:val="00D95065"/>
    <w:rsid w:val="00D97060"/>
    <w:rsid w:val="00D972B3"/>
    <w:rsid w:val="00DA0121"/>
    <w:rsid w:val="00DA1396"/>
    <w:rsid w:val="00DA1EF5"/>
    <w:rsid w:val="00DA22F9"/>
    <w:rsid w:val="00DA4C50"/>
    <w:rsid w:val="00DA4F19"/>
    <w:rsid w:val="00DA5C21"/>
    <w:rsid w:val="00DA5C37"/>
    <w:rsid w:val="00DA6201"/>
    <w:rsid w:val="00DA642F"/>
    <w:rsid w:val="00DA6933"/>
    <w:rsid w:val="00DA696C"/>
    <w:rsid w:val="00DA6A05"/>
    <w:rsid w:val="00DA6B4A"/>
    <w:rsid w:val="00DA730C"/>
    <w:rsid w:val="00DA7518"/>
    <w:rsid w:val="00DA7A73"/>
    <w:rsid w:val="00DB12E4"/>
    <w:rsid w:val="00DB180F"/>
    <w:rsid w:val="00DB1DE4"/>
    <w:rsid w:val="00DB2427"/>
    <w:rsid w:val="00DB2E91"/>
    <w:rsid w:val="00DB315E"/>
    <w:rsid w:val="00DB37F0"/>
    <w:rsid w:val="00DB39AE"/>
    <w:rsid w:val="00DB467B"/>
    <w:rsid w:val="00DB4EA1"/>
    <w:rsid w:val="00DB555F"/>
    <w:rsid w:val="00DB5737"/>
    <w:rsid w:val="00DB5C3A"/>
    <w:rsid w:val="00DB5D27"/>
    <w:rsid w:val="00DC02EA"/>
    <w:rsid w:val="00DC056F"/>
    <w:rsid w:val="00DC0697"/>
    <w:rsid w:val="00DC0780"/>
    <w:rsid w:val="00DC09AD"/>
    <w:rsid w:val="00DC0C72"/>
    <w:rsid w:val="00DC0C7A"/>
    <w:rsid w:val="00DC1B90"/>
    <w:rsid w:val="00DC1EEA"/>
    <w:rsid w:val="00DC1FB1"/>
    <w:rsid w:val="00DC2EAC"/>
    <w:rsid w:val="00DC32A3"/>
    <w:rsid w:val="00DC398C"/>
    <w:rsid w:val="00DC4386"/>
    <w:rsid w:val="00DC4F58"/>
    <w:rsid w:val="00DC4F9B"/>
    <w:rsid w:val="00DC4FA0"/>
    <w:rsid w:val="00DC5424"/>
    <w:rsid w:val="00DC64BD"/>
    <w:rsid w:val="00DC66C2"/>
    <w:rsid w:val="00DC6874"/>
    <w:rsid w:val="00DC6E9E"/>
    <w:rsid w:val="00DC7350"/>
    <w:rsid w:val="00DC76CD"/>
    <w:rsid w:val="00DC770D"/>
    <w:rsid w:val="00DC7728"/>
    <w:rsid w:val="00DC7DA3"/>
    <w:rsid w:val="00DD0EAD"/>
    <w:rsid w:val="00DD0FFC"/>
    <w:rsid w:val="00DD282C"/>
    <w:rsid w:val="00DD2D05"/>
    <w:rsid w:val="00DD2DCE"/>
    <w:rsid w:val="00DD2F7E"/>
    <w:rsid w:val="00DD3031"/>
    <w:rsid w:val="00DD3B0F"/>
    <w:rsid w:val="00DD455E"/>
    <w:rsid w:val="00DD59A0"/>
    <w:rsid w:val="00DD6D6A"/>
    <w:rsid w:val="00DD7E64"/>
    <w:rsid w:val="00DE033A"/>
    <w:rsid w:val="00DE0D7B"/>
    <w:rsid w:val="00DE2865"/>
    <w:rsid w:val="00DE35C4"/>
    <w:rsid w:val="00DE3A10"/>
    <w:rsid w:val="00DE3FED"/>
    <w:rsid w:val="00DE4A4A"/>
    <w:rsid w:val="00DE5564"/>
    <w:rsid w:val="00DE564F"/>
    <w:rsid w:val="00DE5B76"/>
    <w:rsid w:val="00DE7BDA"/>
    <w:rsid w:val="00DF08F9"/>
    <w:rsid w:val="00DF120C"/>
    <w:rsid w:val="00DF138A"/>
    <w:rsid w:val="00DF24E9"/>
    <w:rsid w:val="00DF26F6"/>
    <w:rsid w:val="00DF4335"/>
    <w:rsid w:val="00DF4A45"/>
    <w:rsid w:val="00DF4AF8"/>
    <w:rsid w:val="00DF5FD7"/>
    <w:rsid w:val="00DF6216"/>
    <w:rsid w:val="00DF654A"/>
    <w:rsid w:val="00DF7920"/>
    <w:rsid w:val="00DF7EB5"/>
    <w:rsid w:val="00E002F2"/>
    <w:rsid w:val="00E00480"/>
    <w:rsid w:val="00E006B6"/>
    <w:rsid w:val="00E02064"/>
    <w:rsid w:val="00E025E8"/>
    <w:rsid w:val="00E03652"/>
    <w:rsid w:val="00E068FA"/>
    <w:rsid w:val="00E07991"/>
    <w:rsid w:val="00E07C9F"/>
    <w:rsid w:val="00E116DA"/>
    <w:rsid w:val="00E11A0C"/>
    <w:rsid w:val="00E135CD"/>
    <w:rsid w:val="00E1425E"/>
    <w:rsid w:val="00E156F8"/>
    <w:rsid w:val="00E15C9D"/>
    <w:rsid w:val="00E16BEE"/>
    <w:rsid w:val="00E16CB9"/>
    <w:rsid w:val="00E17DCA"/>
    <w:rsid w:val="00E20A98"/>
    <w:rsid w:val="00E218B0"/>
    <w:rsid w:val="00E22B68"/>
    <w:rsid w:val="00E2351F"/>
    <w:rsid w:val="00E247A3"/>
    <w:rsid w:val="00E262A2"/>
    <w:rsid w:val="00E26431"/>
    <w:rsid w:val="00E26A6D"/>
    <w:rsid w:val="00E27459"/>
    <w:rsid w:val="00E279E5"/>
    <w:rsid w:val="00E308F4"/>
    <w:rsid w:val="00E312BF"/>
    <w:rsid w:val="00E31E7B"/>
    <w:rsid w:val="00E323B2"/>
    <w:rsid w:val="00E323E1"/>
    <w:rsid w:val="00E32622"/>
    <w:rsid w:val="00E338E7"/>
    <w:rsid w:val="00E341BB"/>
    <w:rsid w:val="00E34823"/>
    <w:rsid w:val="00E3568D"/>
    <w:rsid w:val="00E36517"/>
    <w:rsid w:val="00E3681A"/>
    <w:rsid w:val="00E37345"/>
    <w:rsid w:val="00E3757C"/>
    <w:rsid w:val="00E37610"/>
    <w:rsid w:val="00E37639"/>
    <w:rsid w:val="00E3776F"/>
    <w:rsid w:val="00E3799C"/>
    <w:rsid w:val="00E40527"/>
    <w:rsid w:val="00E40CD1"/>
    <w:rsid w:val="00E40D3A"/>
    <w:rsid w:val="00E41208"/>
    <w:rsid w:val="00E4296F"/>
    <w:rsid w:val="00E42FCD"/>
    <w:rsid w:val="00E44D6F"/>
    <w:rsid w:val="00E45C66"/>
    <w:rsid w:val="00E45C9E"/>
    <w:rsid w:val="00E472CD"/>
    <w:rsid w:val="00E475A3"/>
    <w:rsid w:val="00E50442"/>
    <w:rsid w:val="00E50E6E"/>
    <w:rsid w:val="00E518EA"/>
    <w:rsid w:val="00E52841"/>
    <w:rsid w:val="00E566E7"/>
    <w:rsid w:val="00E570FA"/>
    <w:rsid w:val="00E60926"/>
    <w:rsid w:val="00E622B5"/>
    <w:rsid w:val="00E634A8"/>
    <w:rsid w:val="00E634AE"/>
    <w:rsid w:val="00E63915"/>
    <w:rsid w:val="00E63B49"/>
    <w:rsid w:val="00E63C0A"/>
    <w:rsid w:val="00E64495"/>
    <w:rsid w:val="00E65D38"/>
    <w:rsid w:val="00E67A77"/>
    <w:rsid w:val="00E7046E"/>
    <w:rsid w:val="00E7060A"/>
    <w:rsid w:val="00E71C7F"/>
    <w:rsid w:val="00E72265"/>
    <w:rsid w:val="00E72EC8"/>
    <w:rsid w:val="00E72F85"/>
    <w:rsid w:val="00E73828"/>
    <w:rsid w:val="00E75045"/>
    <w:rsid w:val="00E755F8"/>
    <w:rsid w:val="00E75C79"/>
    <w:rsid w:val="00E76F80"/>
    <w:rsid w:val="00E770BE"/>
    <w:rsid w:val="00E8003A"/>
    <w:rsid w:val="00E80A77"/>
    <w:rsid w:val="00E82D57"/>
    <w:rsid w:val="00E82D79"/>
    <w:rsid w:val="00E8327B"/>
    <w:rsid w:val="00E83622"/>
    <w:rsid w:val="00E838B7"/>
    <w:rsid w:val="00E840BC"/>
    <w:rsid w:val="00E845FA"/>
    <w:rsid w:val="00E84916"/>
    <w:rsid w:val="00E849F0"/>
    <w:rsid w:val="00E850F9"/>
    <w:rsid w:val="00E85359"/>
    <w:rsid w:val="00E85BFE"/>
    <w:rsid w:val="00E860C8"/>
    <w:rsid w:val="00E8697C"/>
    <w:rsid w:val="00E86E9C"/>
    <w:rsid w:val="00E874F1"/>
    <w:rsid w:val="00E90A21"/>
    <w:rsid w:val="00E91755"/>
    <w:rsid w:val="00E91FC2"/>
    <w:rsid w:val="00E9230A"/>
    <w:rsid w:val="00E926B4"/>
    <w:rsid w:val="00E927AE"/>
    <w:rsid w:val="00E92AC4"/>
    <w:rsid w:val="00E92AE4"/>
    <w:rsid w:val="00E93050"/>
    <w:rsid w:val="00E93B90"/>
    <w:rsid w:val="00E94BC1"/>
    <w:rsid w:val="00E95D15"/>
    <w:rsid w:val="00E9731C"/>
    <w:rsid w:val="00E976B7"/>
    <w:rsid w:val="00E97E90"/>
    <w:rsid w:val="00EA0468"/>
    <w:rsid w:val="00EA0E26"/>
    <w:rsid w:val="00EA2364"/>
    <w:rsid w:val="00EA2465"/>
    <w:rsid w:val="00EA449F"/>
    <w:rsid w:val="00EA45B0"/>
    <w:rsid w:val="00EA4B60"/>
    <w:rsid w:val="00EA5775"/>
    <w:rsid w:val="00EA5BB9"/>
    <w:rsid w:val="00EA645A"/>
    <w:rsid w:val="00EA694C"/>
    <w:rsid w:val="00EA6ACB"/>
    <w:rsid w:val="00EA70F2"/>
    <w:rsid w:val="00EA7760"/>
    <w:rsid w:val="00EB0B3D"/>
    <w:rsid w:val="00EB13E5"/>
    <w:rsid w:val="00EB1DA4"/>
    <w:rsid w:val="00EB3A17"/>
    <w:rsid w:val="00EB3F62"/>
    <w:rsid w:val="00EB409F"/>
    <w:rsid w:val="00EB4C10"/>
    <w:rsid w:val="00EB4DAF"/>
    <w:rsid w:val="00EB57A3"/>
    <w:rsid w:val="00EB57A6"/>
    <w:rsid w:val="00EB627C"/>
    <w:rsid w:val="00EB642A"/>
    <w:rsid w:val="00EB6EA0"/>
    <w:rsid w:val="00EB7210"/>
    <w:rsid w:val="00EB768D"/>
    <w:rsid w:val="00EC00E7"/>
    <w:rsid w:val="00EC0DE8"/>
    <w:rsid w:val="00EC142A"/>
    <w:rsid w:val="00EC1592"/>
    <w:rsid w:val="00EC25E8"/>
    <w:rsid w:val="00EC26A2"/>
    <w:rsid w:val="00EC3224"/>
    <w:rsid w:val="00EC450E"/>
    <w:rsid w:val="00EC4873"/>
    <w:rsid w:val="00EC5296"/>
    <w:rsid w:val="00EC5B96"/>
    <w:rsid w:val="00EC6445"/>
    <w:rsid w:val="00EC6D9B"/>
    <w:rsid w:val="00EC6F6B"/>
    <w:rsid w:val="00EC7816"/>
    <w:rsid w:val="00EC7A7A"/>
    <w:rsid w:val="00EC7AE0"/>
    <w:rsid w:val="00EC7CCF"/>
    <w:rsid w:val="00ED18F1"/>
    <w:rsid w:val="00ED1907"/>
    <w:rsid w:val="00ED1D17"/>
    <w:rsid w:val="00ED2378"/>
    <w:rsid w:val="00ED2C4C"/>
    <w:rsid w:val="00ED45B0"/>
    <w:rsid w:val="00ED52D1"/>
    <w:rsid w:val="00ED5905"/>
    <w:rsid w:val="00ED5C18"/>
    <w:rsid w:val="00ED6D9F"/>
    <w:rsid w:val="00ED6F2D"/>
    <w:rsid w:val="00EE0838"/>
    <w:rsid w:val="00EE1E95"/>
    <w:rsid w:val="00EE1F76"/>
    <w:rsid w:val="00EE26FC"/>
    <w:rsid w:val="00EE2745"/>
    <w:rsid w:val="00EE2B48"/>
    <w:rsid w:val="00EE2DC6"/>
    <w:rsid w:val="00EE3234"/>
    <w:rsid w:val="00EE3FC2"/>
    <w:rsid w:val="00EE7213"/>
    <w:rsid w:val="00EE76DF"/>
    <w:rsid w:val="00EE7E06"/>
    <w:rsid w:val="00EE7EE6"/>
    <w:rsid w:val="00EF00CE"/>
    <w:rsid w:val="00EF0AB8"/>
    <w:rsid w:val="00EF1083"/>
    <w:rsid w:val="00EF1A08"/>
    <w:rsid w:val="00EF483F"/>
    <w:rsid w:val="00EF4D68"/>
    <w:rsid w:val="00EF554B"/>
    <w:rsid w:val="00EF565A"/>
    <w:rsid w:val="00EF6936"/>
    <w:rsid w:val="00EF7D59"/>
    <w:rsid w:val="00EF7E00"/>
    <w:rsid w:val="00F014FB"/>
    <w:rsid w:val="00F031C1"/>
    <w:rsid w:val="00F03C4C"/>
    <w:rsid w:val="00F05B40"/>
    <w:rsid w:val="00F05CE8"/>
    <w:rsid w:val="00F05E97"/>
    <w:rsid w:val="00F06A2B"/>
    <w:rsid w:val="00F06BA2"/>
    <w:rsid w:val="00F06F35"/>
    <w:rsid w:val="00F0707A"/>
    <w:rsid w:val="00F07396"/>
    <w:rsid w:val="00F07589"/>
    <w:rsid w:val="00F07D1A"/>
    <w:rsid w:val="00F120FE"/>
    <w:rsid w:val="00F125A1"/>
    <w:rsid w:val="00F12985"/>
    <w:rsid w:val="00F13D01"/>
    <w:rsid w:val="00F13D2F"/>
    <w:rsid w:val="00F15AC5"/>
    <w:rsid w:val="00F20B58"/>
    <w:rsid w:val="00F2189C"/>
    <w:rsid w:val="00F21B02"/>
    <w:rsid w:val="00F2264C"/>
    <w:rsid w:val="00F2326F"/>
    <w:rsid w:val="00F232A6"/>
    <w:rsid w:val="00F23AA0"/>
    <w:rsid w:val="00F23AFF"/>
    <w:rsid w:val="00F2450A"/>
    <w:rsid w:val="00F24AA5"/>
    <w:rsid w:val="00F24FC4"/>
    <w:rsid w:val="00F25A57"/>
    <w:rsid w:val="00F30E08"/>
    <w:rsid w:val="00F31A19"/>
    <w:rsid w:val="00F31E3C"/>
    <w:rsid w:val="00F34152"/>
    <w:rsid w:val="00F34476"/>
    <w:rsid w:val="00F34DC9"/>
    <w:rsid w:val="00F34DEB"/>
    <w:rsid w:val="00F353BD"/>
    <w:rsid w:val="00F35CD4"/>
    <w:rsid w:val="00F364E2"/>
    <w:rsid w:val="00F365D8"/>
    <w:rsid w:val="00F37C77"/>
    <w:rsid w:val="00F37FCB"/>
    <w:rsid w:val="00F4078E"/>
    <w:rsid w:val="00F40B4E"/>
    <w:rsid w:val="00F40E54"/>
    <w:rsid w:val="00F41615"/>
    <w:rsid w:val="00F419D4"/>
    <w:rsid w:val="00F41D92"/>
    <w:rsid w:val="00F42230"/>
    <w:rsid w:val="00F4277E"/>
    <w:rsid w:val="00F42EE9"/>
    <w:rsid w:val="00F430CE"/>
    <w:rsid w:val="00F44901"/>
    <w:rsid w:val="00F44EBD"/>
    <w:rsid w:val="00F45787"/>
    <w:rsid w:val="00F458CD"/>
    <w:rsid w:val="00F47D59"/>
    <w:rsid w:val="00F50E1C"/>
    <w:rsid w:val="00F511FF"/>
    <w:rsid w:val="00F51634"/>
    <w:rsid w:val="00F54C5A"/>
    <w:rsid w:val="00F54C64"/>
    <w:rsid w:val="00F54DDF"/>
    <w:rsid w:val="00F55DEA"/>
    <w:rsid w:val="00F56980"/>
    <w:rsid w:val="00F57A01"/>
    <w:rsid w:val="00F57A41"/>
    <w:rsid w:val="00F57A93"/>
    <w:rsid w:val="00F57E97"/>
    <w:rsid w:val="00F60E64"/>
    <w:rsid w:val="00F616CA"/>
    <w:rsid w:val="00F62B17"/>
    <w:rsid w:val="00F63E86"/>
    <w:rsid w:val="00F64968"/>
    <w:rsid w:val="00F64F0C"/>
    <w:rsid w:val="00F653F0"/>
    <w:rsid w:val="00F6544A"/>
    <w:rsid w:val="00F66317"/>
    <w:rsid w:val="00F66D49"/>
    <w:rsid w:val="00F66FC0"/>
    <w:rsid w:val="00F67C13"/>
    <w:rsid w:val="00F716A6"/>
    <w:rsid w:val="00F71C99"/>
    <w:rsid w:val="00F72968"/>
    <w:rsid w:val="00F737EE"/>
    <w:rsid w:val="00F745AD"/>
    <w:rsid w:val="00F74A7F"/>
    <w:rsid w:val="00F757FA"/>
    <w:rsid w:val="00F764C6"/>
    <w:rsid w:val="00F767F0"/>
    <w:rsid w:val="00F77DCF"/>
    <w:rsid w:val="00F77EDB"/>
    <w:rsid w:val="00F80B92"/>
    <w:rsid w:val="00F82881"/>
    <w:rsid w:val="00F837D1"/>
    <w:rsid w:val="00F8727D"/>
    <w:rsid w:val="00F905EA"/>
    <w:rsid w:val="00F92617"/>
    <w:rsid w:val="00F92710"/>
    <w:rsid w:val="00F9431E"/>
    <w:rsid w:val="00F9443C"/>
    <w:rsid w:val="00F94968"/>
    <w:rsid w:val="00F9518E"/>
    <w:rsid w:val="00F95775"/>
    <w:rsid w:val="00F95B6F"/>
    <w:rsid w:val="00F961F8"/>
    <w:rsid w:val="00F97495"/>
    <w:rsid w:val="00FA016F"/>
    <w:rsid w:val="00FA029A"/>
    <w:rsid w:val="00FA0586"/>
    <w:rsid w:val="00FA07BD"/>
    <w:rsid w:val="00FA08C1"/>
    <w:rsid w:val="00FA09A7"/>
    <w:rsid w:val="00FA0CCB"/>
    <w:rsid w:val="00FA1D58"/>
    <w:rsid w:val="00FA220A"/>
    <w:rsid w:val="00FA24E8"/>
    <w:rsid w:val="00FA26D7"/>
    <w:rsid w:val="00FA2CC6"/>
    <w:rsid w:val="00FA2EA3"/>
    <w:rsid w:val="00FA3858"/>
    <w:rsid w:val="00FA3C83"/>
    <w:rsid w:val="00FA5AAD"/>
    <w:rsid w:val="00FA6C58"/>
    <w:rsid w:val="00FA77E8"/>
    <w:rsid w:val="00FB142B"/>
    <w:rsid w:val="00FB2589"/>
    <w:rsid w:val="00FB41AA"/>
    <w:rsid w:val="00FB50EC"/>
    <w:rsid w:val="00FB5B69"/>
    <w:rsid w:val="00FB5C22"/>
    <w:rsid w:val="00FB61A9"/>
    <w:rsid w:val="00FC12CD"/>
    <w:rsid w:val="00FC15FF"/>
    <w:rsid w:val="00FC19CC"/>
    <w:rsid w:val="00FC1DCD"/>
    <w:rsid w:val="00FC2E82"/>
    <w:rsid w:val="00FC3D10"/>
    <w:rsid w:val="00FC3DB3"/>
    <w:rsid w:val="00FC458D"/>
    <w:rsid w:val="00FC4FD8"/>
    <w:rsid w:val="00FC6CD2"/>
    <w:rsid w:val="00FC6DB4"/>
    <w:rsid w:val="00FC7547"/>
    <w:rsid w:val="00FC7C69"/>
    <w:rsid w:val="00FC7D2A"/>
    <w:rsid w:val="00FD0650"/>
    <w:rsid w:val="00FD098D"/>
    <w:rsid w:val="00FD1453"/>
    <w:rsid w:val="00FD1CF4"/>
    <w:rsid w:val="00FD2901"/>
    <w:rsid w:val="00FD2C55"/>
    <w:rsid w:val="00FD33C1"/>
    <w:rsid w:val="00FD3E1C"/>
    <w:rsid w:val="00FD4248"/>
    <w:rsid w:val="00FD4AE6"/>
    <w:rsid w:val="00FD54F8"/>
    <w:rsid w:val="00FD631A"/>
    <w:rsid w:val="00FD68B7"/>
    <w:rsid w:val="00FD700C"/>
    <w:rsid w:val="00FE0214"/>
    <w:rsid w:val="00FE1655"/>
    <w:rsid w:val="00FE36E9"/>
    <w:rsid w:val="00FE3A04"/>
    <w:rsid w:val="00FE4A3A"/>
    <w:rsid w:val="00FE4B43"/>
    <w:rsid w:val="00FE4F6C"/>
    <w:rsid w:val="00FE52D4"/>
    <w:rsid w:val="00FE6474"/>
    <w:rsid w:val="00FE731A"/>
    <w:rsid w:val="00FF0917"/>
    <w:rsid w:val="00FF0C03"/>
    <w:rsid w:val="00FF1931"/>
    <w:rsid w:val="00FF2502"/>
    <w:rsid w:val="00FF4456"/>
    <w:rsid w:val="00FF4F20"/>
    <w:rsid w:val="00FF53A1"/>
    <w:rsid w:val="00FF5C7B"/>
    <w:rsid w:val="00FF5E98"/>
    <w:rsid w:val="00FF60C3"/>
    <w:rsid w:val="03D574C4"/>
    <w:rsid w:val="232A61F9"/>
    <w:rsid w:val="2DFF5A19"/>
    <w:rsid w:val="47283058"/>
    <w:rsid w:val="6B497E07"/>
    <w:rsid w:val="6DCA18FC"/>
    <w:rsid w:val="7E8B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宋体" w:hAnsi="宋体"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nhideWhenUsed="0" w:uiPriority="0" w:semiHidden="0" w:name="heading 3"/>
    <w:lsdException w:qFormat="1"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qFormat="1" w:uiPriority="39" w:semiHidden="0" w:name="toc 7"/>
    <w:lsdException w:qFormat="1" w:uiPriority="39" w:semiHidden="0" w:name="toc 8"/>
    <w:lsdException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semiHidden="0" w:name="Body Text"/>
    <w:lsdException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4"/>
      <w:lang w:val="en-US" w:eastAsia="zh-CN" w:bidi="ar-SA"/>
    </w:rPr>
  </w:style>
  <w:style w:type="paragraph" w:styleId="2">
    <w:name w:val="heading 1"/>
    <w:basedOn w:val="1"/>
    <w:next w:val="1"/>
    <w:link w:val="36"/>
    <w:qFormat/>
    <w:uiPriority w:val="99"/>
    <w:pPr>
      <w:keepNext/>
      <w:keepLines/>
      <w:spacing w:before="340" w:after="330" w:line="578" w:lineRule="auto"/>
      <w:outlineLvl w:val="0"/>
    </w:pPr>
    <w:rPr>
      <w:b/>
      <w:bCs/>
      <w:kern w:val="44"/>
      <w:sz w:val="44"/>
      <w:szCs w:val="44"/>
    </w:rPr>
  </w:style>
  <w:style w:type="paragraph" w:styleId="3">
    <w:name w:val="heading 2"/>
    <w:next w:val="1"/>
    <w:link w:val="39"/>
    <w:unhideWhenUsed/>
    <w:qFormat/>
    <w:uiPriority w:val="9"/>
    <w:pPr>
      <w:keepNext/>
      <w:numPr>
        <w:ilvl w:val="1"/>
        <w:numId w:val="1"/>
      </w:numPr>
      <w:adjustRightInd w:val="0"/>
      <w:snapToGrid w:val="0"/>
      <w:spacing w:before="156" w:beforeLines="50" w:line="360" w:lineRule="auto"/>
      <w:ind w:left="0" w:firstLine="0"/>
      <w:outlineLvl w:val="1"/>
    </w:pPr>
    <w:rPr>
      <w:rFonts w:ascii="Times New Roman" w:hAnsi="Times New Roman" w:eastAsia="宋体" w:cs="宋体"/>
      <w:b/>
      <w:snapToGrid w:val="0"/>
      <w:spacing w:val="-4"/>
      <w:sz w:val="28"/>
      <w:szCs w:val="28"/>
      <w:lang w:val="en-US" w:eastAsia="zh-CN" w:bidi="ar-SA"/>
    </w:rPr>
  </w:style>
  <w:style w:type="paragraph" w:styleId="4">
    <w:name w:val="heading 3"/>
    <w:basedOn w:val="1"/>
    <w:next w:val="1"/>
    <w:link w:val="40"/>
    <w:qFormat/>
    <w:uiPriority w:val="0"/>
    <w:pPr>
      <w:keepNext/>
      <w:keepLines/>
      <w:tabs>
        <w:tab w:val="left" w:pos="720"/>
      </w:tabs>
      <w:autoSpaceDE/>
      <w:autoSpaceDN/>
      <w:spacing w:before="260" w:after="260"/>
      <w:ind w:firstLine="0" w:firstLineChars="0"/>
      <w:textAlignment w:val="auto"/>
      <w:outlineLvl w:val="2"/>
    </w:pPr>
    <w:rPr>
      <w:rFonts w:cs="Times New Roman"/>
      <w:b/>
      <w:bCs/>
      <w:snapToGrid/>
      <w:color w:val="auto"/>
      <w:kern w:val="2"/>
      <w:sz w:val="32"/>
      <w:szCs w:val="32"/>
    </w:rPr>
  </w:style>
  <w:style w:type="paragraph" w:styleId="5">
    <w:name w:val="heading 4"/>
    <w:basedOn w:val="1"/>
    <w:next w:val="1"/>
    <w:link w:val="41"/>
    <w:unhideWhenUsed/>
    <w:qFormat/>
    <w:uiPriority w:val="0"/>
    <w:pPr>
      <w:keepNext/>
      <w:keepLines/>
      <w:autoSpaceDE/>
      <w:autoSpaceDN/>
      <w:adjustRightInd/>
      <w:snapToGrid/>
      <w:spacing w:before="280" w:after="290" w:line="376" w:lineRule="auto"/>
      <w:ind w:firstLine="0" w:firstLineChars="0"/>
      <w:textAlignment w:val="auto"/>
      <w:outlineLvl w:val="3"/>
    </w:pPr>
    <w:rPr>
      <w:rFonts w:asciiTheme="majorHAnsi" w:hAnsiTheme="majorHAnsi" w:eastAsiaTheme="majorEastAsia" w:cstheme="majorBidi"/>
      <w:b/>
      <w:bCs/>
      <w:snapToGrid/>
      <w:color w:val="auto"/>
      <w:kern w:val="2"/>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napToGrid/>
      <w:spacing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rPr>
  </w:style>
  <w:style w:type="paragraph" w:styleId="7">
    <w:name w:val="Normal Indent"/>
    <w:basedOn w:val="1"/>
    <w:link w:val="100"/>
    <w:unhideWhenUsed/>
    <w:qFormat/>
    <w:uiPriority w:val="0"/>
    <w:pPr>
      <w:autoSpaceDE/>
      <w:autoSpaceDN/>
      <w:adjustRightInd/>
      <w:snapToGrid/>
      <w:spacing w:line="240" w:lineRule="auto"/>
      <w:ind w:firstLine="420" w:firstLineChars="0"/>
      <w:textAlignment w:val="auto"/>
    </w:pPr>
    <w:rPr>
      <w:rFonts w:ascii="宋体" w:cs="Times New Roman"/>
      <w:snapToGrid/>
      <w:color w:val="auto"/>
      <w:kern w:val="2"/>
      <w:szCs w:val="20"/>
    </w:rPr>
  </w:style>
  <w:style w:type="paragraph" w:styleId="8">
    <w:name w:val="caption"/>
    <w:next w:val="1"/>
    <w:unhideWhenUsed/>
    <w:qFormat/>
    <w:uiPriority w:val="35"/>
    <w:pPr>
      <w:ind w:left="200" w:hanging="200" w:hangingChars="200"/>
    </w:pPr>
    <w:rPr>
      <w:rFonts w:ascii="Times New Roman" w:hAnsi="Times New Roman" w:eastAsia="宋体" w:cstheme="majorBidi"/>
      <w:color w:val="000000"/>
      <w:sz w:val="21"/>
      <w:lang w:val="en-US" w:eastAsia="zh-CN" w:bidi="ar-SA"/>
    </w:rPr>
  </w:style>
  <w:style w:type="paragraph" w:styleId="9">
    <w:name w:val="annotation text"/>
    <w:basedOn w:val="1"/>
    <w:link w:val="80"/>
    <w:semiHidden/>
    <w:unhideWhenUsed/>
    <w:qFormat/>
    <w:uiPriority w:val="0"/>
    <w:pPr>
      <w:jc w:val="left"/>
    </w:pPr>
  </w:style>
  <w:style w:type="paragraph" w:styleId="10">
    <w:name w:val="Body Text"/>
    <w:basedOn w:val="1"/>
    <w:link w:val="85"/>
    <w:unhideWhenUsed/>
    <w:uiPriority w:val="99"/>
    <w:pPr>
      <w:autoSpaceDE/>
      <w:autoSpaceDN/>
      <w:adjustRightInd/>
      <w:snapToGrid/>
      <w:spacing w:after="120" w:line="24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11">
    <w:name w:val="toc 5"/>
    <w:basedOn w:val="1"/>
    <w:next w:val="1"/>
    <w:unhideWhenUsed/>
    <w:uiPriority w:val="39"/>
    <w:pPr>
      <w:autoSpaceDE/>
      <w:autoSpaceDN/>
      <w:adjustRightInd/>
      <w:snapToGrid/>
      <w:spacing w:line="240" w:lineRule="auto"/>
      <w:ind w:left="1680" w:leftChars="800" w:firstLine="0" w:firstLineChars="0"/>
      <w:textAlignment w:val="auto"/>
    </w:pPr>
    <w:rPr>
      <w:rFonts w:asciiTheme="minorHAnsi" w:hAnsiTheme="minorHAnsi" w:eastAsiaTheme="minorEastAsia" w:cstheme="minorBidi"/>
      <w:snapToGrid/>
      <w:color w:val="auto"/>
      <w:kern w:val="2"/>
      <w:sz w:val="21"/>
      <w:szCs w:val="22"/>
    </w:rPr>
  </w:style>
  <w:style w:type="paragraph" w:styleId="12">
    <w:name w:val="toc 3"/>
    <w:basedOn w:val="1"/>
    <w:next w:val="1"/>
    <w:unhideWhenUsed/>
    <w:qFormat/>
    <w:uiPriority w:val="39"/>
    <w:pPr>
      <w:ind w:left="840" w:leftChars="400"/>
    </w:pPr>
  </w:style>
  <w:style w:type="paragraph" w:styleId="13">
    <w:name w:val="Plain Text"/>
    <w:basedOn w:val="1"/>
    <w:link w:val="103"/>
    <w:qFormat/>
    <w:uiPriority w:val="0"/>
    <w:pPr>
      <w:autoSpaceDE/>
      <w:autoSpaceDN/>
      <w:adjustRightInd/>
      <w:snapToGrid/>
      <w:spacing w:line="240" w:lineRule="auto"/>
      <w:ind w:firstLine="0" w:firstLineChars="0"/>
      <w:textAlignment w:val="auto"/>
    </w:pPr>
    <w:rPr>
      <w:rFonts w:ascii="宋体" w:hAnsi="Courier New"/>
      <w:snapToGrid/>
      <w:color w:val="auto"/>
      <w:kern w:val="2"/>
      <w:sz w:val="21"/>
    </w:rPr>
  </w:style>
  <w:style w:type="paragraph" w:styleId="14">
    <w:name w:val="toc 8"/>
    <w:basedOn w:val="1"/>
    <w:next w:val="1"/>
    <w:unhideWhenUsed/>
    <w:qFormat/>
    <w:uiPriority w:val="39"/>
    <w:pPr>
      <w:autoSpaceDE/>
      <w:autoSpaceDN/>
      <w:adjustRightInd/>
      <w:snapToGrid/>
      <w:spacing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rPr>
  </w:style>
  <w:style w:type="paragraph" w:styleId="15">
    <w:name w:val="Date"/>
    <w:basedOn w:val="1"/>
    <w:next w:val="1"/>
    <w:link w:val="106"/>
    <w:semiHidden/>
    <w:unhideWhenUsed/>
    <w:qFormat/>
    <w:uiPriority w:val="0"/>
    <w:pPr>
      <w:ind w:left="100" w:leftChars="2500"/>
    </w:pPr>
  </w:style>
  <w:style w:type="paragraph" w:styleId="16">
    <w:name w:val="Body Text Indent 2"/>
    <w:basedOn w:val="1"/>
    <w:link w:val="108"/>
    <w:semiHidden/>
    <w:unhideWhenUsed/>
    <w:uiPriority w:val="99"/>
    <w:pPr>
      <w:spacing w:after="120" w:line="480" w:lineRule="auto"/>
      <w:ind w:left="420" w:leftChars="200"/>
    </w:pPr>
  </w:style>
  <w:style w:type="paragraph" w:styleId="17">
    <w:name w:val="Balloon Text"/>
    <w:basedOn w:val="1"/>
    <w:link w:val="54"/>
    <w:semiHidden/>
    <w:unhideWhenUsed/>
    <w:qFormat/>
    <w:uiPriority w:val="99"/>
    <w:pPr>
      <w:spacing w:line="240" w:lineRule="auto"/>
    </w:pPr>
    <w:rPr>
      <w:sz w:val="18"/>
      <w:szCs w:val="18"/>
    </w:rPr>
  </w:style>
  <w:style w:type="paragraph" w:styleId="18">
    <w:name w:val="footer"/>
    <w:basedOn w:val="1"/>
    <w:link w:val="84"/>
    <w:unhideWhenUsed/>
    <w:qFormat/>
    <w:uiPriority w:val="99"/>
    <w:pPr>
      <w:tabs>
        <w:tab w:val="center" w:pos="4153"/>
        <w:tab w:val="right" w:pos="8306"/>
      </w:tabs>
      <w:spacing w:line="240" w:lineRule="auto"/>
      <w:jc w:val="left"/>
    </w:pPr>
    <w:rPr>
      <w:sz w:val="18"/>
      <w:szCs w:val="18"/>
    </w:rPr>
  </w:style>
  <w:style w:type="paragraph" w:styleId="19">
    <w:name w:val="header"/>
    <w:basedOn w:val="1"/>
    <w:link w:val="83"/>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pPr>
      <w:tabs>
        <w:tab w:val="right" w:leader="dot" w:pos="8296"/>
      </w:tabs>
      <w:ind w:firstLine="0" w:firstLineChars="0"/>
    </w:pPr>
    <w:rPr>
      <w:rFonts w:cs="Times New Roman"/>
    </w:rPr>
  </w:style>
  <w:style w:type="paragraph" w:styleId="21">
    <w:name w:val="toc 4"/>
    <w:basedOn w:val="1"/>
    <w:next w:val="1"/>
    <w:unhideWhenUsed/>
    <w:uiPriority w:val="39"/>
    <w:pPr>
      <w:autoSpaceDE/>
      <w:autoSpaceDN/>
      <w:adjustRightInd/>
      <w:snapToGrid/>
      <w:spacing w:line="240" w:lineRule="auto"/>
      <w:ind w:left="1260" w:leftChars="600" w:firstLine="0" w:firstLineChars="0"/>
      <w:textAlignment w:val="auto"/>
    </w:pPr>
    <w:rPr>
      <w:rFonts w:asciiTheme="minorHAnsi" w:hAnsiTheme="minorHAnsi" w:eastAsiaTheme="minorEastAsia" w:cstheme="minorBidi"/>
      <w:snapToGrid/>
      <w:color w:val="auto"/>
      <w:kern w:val="2"/>
      <w:sz w:val="21"/>
      <w:szCs w:val="22"/>
    </w:rPr>
  </w:style>
  <w:style w:type="paragraph" w:styleId="22">
    <w:name w:val="toc 6"/>
    <w:basedOn w:val="1"/>
    <w:next w:val="1"/>
    <w:unhideWhenUsed/>
    <w:uiPriority w:val="39"/>
    <w:pPr>
      <w:autoSpaceDE/>
      <w:autoSpaceDN/>
      <w:adjustRightInd/>
      <w:snapToGrid/>
      <w:spacing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rPr>
  </w:style>
  <w:style w:type="paragraph" w:styleId="23">
    <w:name w:val="toc 2"/>
    <w:basedOn w:val="1"/>
    <w:next w:val="1"/>
    <w:unhideWhenUsed/>
    <w:qFormat/>
    <w:uiPriority w:val="39"/>
    <w:pPr>
      <w:tabs>
        <w:tab w:val="right" w:leader="dot" w:pos="8296"/>
      </w:tabs>
      <w:ind w:left="480" w:leftChars="200" w:firstLine="0" w:firstLineChars="0"/>
    </w:pPr>
  </w:style>
  <w:style w:type="paragraph" w:styleId="24">
    <w:name w:val="toc 9"/>
    <w:basedOn w:val="1"/>
    <w:next w:val="1"/>
    <w:unhideWhenUsed/>
    <w:uiPriority w:val="39"/>
    <w:pPr>
      <w:autoSpaceDE/>
      <w:autoSpaceDN/>
      <w:adjustRightInd/>
      <w:snapToGrid/>
      <w:spacing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rPr>
  </w:style>
  <w:style w:type="paragraph" w:styleId="25">
    <w:name w:val="Body Text 2"/>
    <w:basedOn w:val="1"/>
    <w:link w:val="86"/>
    <w:unhideWhenUsed/>
    <w:uiPriority w:val="99"/>
    <w:pPr>
      <w:autoSpaceDE/>
      <w:autoSpaceDN/>
      <w:adjustRightInd/>
      <w:snapToGrid/>
      <w:spacing w:after="120" w:line="48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26">
    <w:name w:val="Normal (Web)"/>
    <w:basedOn w:val="1"/>
    <w:link w:val="120"/>
    <w:unhideWhenUsed/>
    <w:qFormat/>
    <w:uiPriority w:val="99"/>
    <w:pPr>
      <w:widowControl/>
      <w:autoSpaceDE/>
      <w:autoSpaceDN/>
      <w:adjustRightInd/>
      <w:snapToGrid/>
      <w:spacing w:before="100" w:beforeAutospacing="1" w:after="100" w:afterAutospacing="1" w:line="240" w:lineRule="auto"/>
      <w:ind w:firstLine="0" w:firstLineChars="0"/>
      <w:jc w:val="left"/>
      <w:textAlignment w:val="auto"/>
    </w:pPr>
    <w:rPr>
      <w:rFonts w:hint="eastAsia" w:ascii="宋体" w:hAnsi="宋体" w:cs="宋体"/>
      <w:snapToGrid/>
      <w:color w:val="auto"/>
    </w:rPr>
  </w:style>
  <w:style w:type="paragraph" w:styleId="27">
    <w:name w:val="annotation subject"/>
    <w:basedOn w:val="1"/>
    <w:next w:val="9"/>
    <w:link w:val="55"/>
    <w:semiHidden/>
    <w:unhideWhenUsed/>
    <w:qFormat/>
    <w:uiPriority w:val="0"/>
    <w:rPr>
      <w:b/>
      <w:bCs/>
    </w:rPr>
  </w:style>
  <w:style w:type="paragraph" w:styleId="28">
    <w:name w:val="Body Text First Indent"/>
    <w:basedOn w:val="10"/>
    <w:link w:val="87"/>
    <w:qFormat/>
    <w:uiPriority w:val="0"/>
    <w:pPr>
      <w:spacing w:line="360" w:lineRule="auto"/>
      <w:ind w:firstLine="420" w:firstLineChars="100"/>
    </w:pPr>
    <w:rPr>
      <w:rFonts w:ascii="Times New Roman" w:hAnsi="Times New Roman" w:eastAsia="仿宋"/>
      <w:sz w:val="28"/>
      <w:szCs w:val="24"/>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FollowedHyperlink"/>
    <w:basedOn w:val="31"/>
    <w:semiHidden/>
    <w:unhideWhenUsed/>
    <w:uiPriority w:val="99"/>
    <w:rPr>
      <w:color w:val="954F72" w:themeColor="followedHyperlink"/>
      <w:u w:val="single"/>
      <w14:textFill>
        <w14:solidFill>
          <w14:schemeClr w14:val="folHlink"/>
        </w14:solidFill>
      </w14:textFill>
    </w:rPr>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basedOn w:val="31"/>
    <w:unhideWhenUsed/>
    <w:qFormat/>
    <w:uiPriority w:val="99"/>
    <w:rPr>
      <w:sz w:val="21"/>
      <w:szCs w:val="21"/>
    </w:rPr>
  </w:style>
  <w:style w:type="character" w:customStyle="1" w:styleId="36">
    <w:name w:val="标题 1 字符"/>
    <w:basedOn w:val="31"/>
    <w:link w:val="2"/>
    <w:qFormat/>
    <w:uiPriority w:val="99"/>
    <w:rPr>
      <w:b/>
      <w:bCs/>
      <w:kern w:val="44"/>
      <w:sz w:val="44"/>
      <w:szCs w:val="44"/>
    </w:rPr>
  </w:style>
  <w:style w:type="paragraph" w:customStyle="1" w:styleId="37">
    <w:name w:val="弃用 标题2"/>
    <w:basedOn w:val="1"/>
    <w:link w:val="38"/>
    <w:qFormat/>
    <w:uiPriority w:val="0"/>
    <w:pPr>
      <w:ind w:firstLine="0" w:firstLineChars="0"/>
      <w:outlineLvl w:val="1"/>
    </w:pPr>
    <w:rPr>
      <w:rFonts w:cs="宋体"/>
      <w:spacing w:val="-4"/>
      <w:sz w:val="28"/>
      <w:szCs w:val="28"/>
    </w:rPr>
  </w:style>
  <w:style w:type="character" w:customStyle="1" w:styleId="38">
    <w:name w:val="弃用 标题2 字符"/>
    <w:basedOn w:val="31"/>
    <w:link w:val="37"/>
    <w:qFormat/>
    <w:uiPriority w:val="0"/>
    <w:rPr>
      <w:rFonts w:ascii="Times New Roman" w:hAnsi="Times New Roman" w:cs="宋体"/>
      <w:spacing w:val="-4"/>
      <w:sz w:val="28"/>
      <w:szCs w:val="28"/>
    </w:rPr>
  </w:style>
  <w:style w:type="character" w:customStyle="1" w:styleId="39">
    <w:name w:val="标题 2 字符"/>
    <w:basedOn w:val="31"/>
    <w:link w:val="3"/>
    <w:qFormat/>
    <w:uiPriority w:val="9"/>
    <w:rPr>
      <w:rFonts w:ascii="Times New Roman" w:hAnsi="Times New Roman" w:cs="宋体"/>
      <w:b/>
      <w:snapToGrid w:val="0"/>
      <w:spacing w:val="-4"/>
      <w:sz w:val="28"/>
      <w:szCs w:val="28"/>
    </w:rPr>
  </w:style>
  <w:style w:type="character" w:customStyle="1" w:styleId="40">
    <w:name w:val="标题 3 字符"/>
    <w:basedOn w:val="31"/>
    <w:link w:val="4"/>
    <w:qFormat/>
    <w:uiPriority w:val="0"/>
    <w:rPr>
      <w:rFonts w:ascii="Times New Roman" w:hAnsi="Times New Roman" w:cs="Times New Roman"/>
      <w:b/>
      <w:bCs/>
      <w:snapToGrid/>
      <w:color w:val="auto"/>
      <w:kern w:val="2"/>
      <w:sz w:val="32"/>
      <w:szCs w:val="32"/>
    </w:rPr>
  </w:style>
  <w:style w:type="character" w:customStyle="1" w:styleId="41">
    <w:name w:val="标题 4 字符"/>
    <w:basedOn w:val="31"/>
    <w:link w:val="5"/>
    <w:qFormat/>
    <w:uiPriority w:val="0"/>
    <w:rPr>
      <w:rFonts w:asciiTheme="majorHAnsi" w:hAnsiTheme="majorHAnsi" w:eastAsiaTheme="majorEastAsia" w:cstheme="majorBidi"/>
      <w:b/>
      <w:bCs/>
      <w:snapToGrid/>
      <w:color w:val="auto"/>
      <w:kern w:val="2"/>
      <w:sz w:val="28"/>
      <w:szCs w:val="28"/>
    </w:rPr>
  </w:style>
  <w:style w:type="paragraph" w:customStyle="1" w:styleId="42">
    <w:name w:val="标题1"/>
    <w:next w:val="1"/>
    <w:link w:val="43"/>
    <w:qFormat/>
    <w:uiPriority w:val="0"/>
    <w:pPr>
      <w:keepNext/>
      <w:numPr>
        <w:ilvl w:val="0"/>
        <w:numId w:val="1"/>
      </w:numPr>
      <w:adjustRightInd w:val="0"/>
      <w:snapToGrid w:val="0"/>
      <w:spacing w:line="360" w:lineRule="auto"/>
      <w:jc w:val="center"/>
      <w:outlineLvl w:val="0"/>
    </w:pPr>
    <w:rPr>
      <w:rFonts w:ascii="Times New Roman" w:hAnsi="Times New Roman" w:eastAsia="宋体" w:cs="宋体"/>
      <w:b/>
      <w:snapToGrid w:val="0"/>
      <w:color w:val="000000"/>
      <w:sz w:val="32"/>
      <w:szCs w:val="32"/>
      <w:lang w:val="en-US" w:eastAsia="zh-CN" w:bidi="ar-SA"/>
    </w:rPr>
  </w:style>
  <w:style w:type="character" w:customStyle="1" w:styleId="43">
    <w:name w:val="标题1 字符"/>
    <w:basedOn w:val="31"/>
    <w:link w:val="42"/>
    <w:uiPriority w:val="0"/>
    <w:rPr>
      <w:rFonts w:ascii="Times New Roman" w:hAnsi="Times New Roman" w:cs="宋体"/>
      <w:b/>
      <w:snapToGrid w:val="0"/>
      <w:color w:val="000000"/>
      <w:sz w:val="32"/>
      <w:szCs w:val="32"/>
    </w:rPr>
  </w:style>
  <w:style w:type="paragraph" w:customStyle="1" w:styleId="44">
    <w:name w:val="标题3"/>
    <w:next w:val="1"/>
    <w:link w:val="45"/>
    <w:qFormat/>
    <w:uiPriority w:val="0"/>
    <w:pPr>
      <w:keepNext/>
      <w:adjustRightInd w:val="0"/>
      <w:snapToGrid w:val="0"/>
      <w:spacing w:before="156" w:beforeLines="50" w:line="360" w:lineRule="auto"/>
      <w:outlineLvl w:val="2"/>
    </w:pPr>
    <w:rPr>
      <w:rFonts w:ascii="Times New Roman" w:hAnsi="Times New Roman" w:eastAsia="宋体" w:cs="Times New Roman"/>
      <w:b/>
      <w:snapToGrid w:val="0"/>
      <w:color w:val="000000"/>
      <w:spacing w:val="-4"/>
      <w:sz w:val="24"/>
      <w:szCs w:val="28"/>
      <w:lang w:val="en-US" w:eastAsia="zh-CN" w:bidi="ar-SA"/>
    </w:rPr>
  </w:style>
  <w:style w:type="character" w:customStyle="1" w:styleId="45">
    <w:name w:val="标题3 字符"/>
    <w:basedOn w:val="38"/>
    <w:link w:val="44"/>
    <w:uiPriority w:val="0"/>
    <w:rPr>
      <w:rFonts w:ascii="Times New Roman" w:hAnsi="Times New Roman" w:cs="Times New Roman"/>
      <w:b/>
      <w:snapToGrid w:val="0"/>
      <w:color w:val="000000"/>
      <w:spacing w:val="-4"/>
      <w:sz w:val="24"/>
      <w:szCs w:val="28"/>
    </w:rPr>
  </w:style>
  <w:style w:type="paragraph" w:customStyle="1" w:styleId="46">
    <w:name w:val="标题4"/>
    <w:next w:val="1"/>
    <w:link w:val="47"/>
    <w:qFormat/>
    <w:uiPriority w:val="0"/>
    <w:pPr>
      <w:keepNext/>
      <w:numPr>
        <w:ilvl w:val="0"/>
        <w:numId w:val="2"/>
      </w:numPr>
      <w:spacing w:line="360" w:lineRule="auto"/>
    </w:pPr>
    <w:rPr>
      <w:rFonts w:ascii="Times New Roman" w:hAnsi="Times New Roman" w:eastAsia="宋体" w:cs="Times New Roman"/>
      <w:b/>
      <w:snapToGrid w:val="0"/>
      <w:color w:val="000000"/>
      <w:sz w:val="24"/>
      <w:szCs w:val="28"/>
      <w:lang w:val="en-US" w:eastAsia="zh-CN" w:bidi="ar-SA"/>
    </w:rPr>
  </w:style>
  <w:style w:type="character" w:customStyle="1" w:styleId="47">
    <w:name w:val="标题4 字符"/>
    <w:basedOn w:val="45"/>
    <w:link w:val="46"/>
    <w:uiPriority w:val="0"/>
    <w:rPr>
      <w:rFonts w:ascii="Times New Roman" w:hAnsi="Times New Roman" w:cs="Times New Roman"/>
      <w:snapToGrid w:val="0"/>
      <w:color w:val="000000"/>
      <w:spacing w:val="-4"/>
      <w:sz w:val="24"/>
      <w:szCs w:val="28"/>
    </w:rPr>
  </w:style>
  <w:style w:type="paragraph" w:customStyle="1" w:styleId="48">
    <w:name w:val="标题5"/>
    <w:next w:val="1"/>
    <w:link w:val="49"/>
    <w:qFormat/>
    <w:uiPriority w:val="0"/>
    <w:pPr>
      <w:keepNext/>
      <w:numPr>
        <w:ilvl w:val="0"/>
        <w:numId w:val="3"/>
      </w:numPr>
      <w:spacing w:line="360" w:lineRule="auto"/>
    </w:pPr>
    <w:rPr>
      <w:rFonts w:ascii="Times New Roman" w:hAnsi="Times New Roman" w:eastAsia="宋体" w:cs="Times New Roman"/>
      <w:snapToGrid w:val="0"/>
      <w:color w:val="000000"/>
      <w:sz w:val="24"/>
      <w:szCs w:val="24"/>
      <w:lang w:val="en-US" w:eastAsia="zh-CN" w:bidi="ar-SA"/>
    </w:rPr>
  </w:style>
  <w:style w:type="character" w:customStyle="1" w:styleId="49">
    <w:name w:val="标题5 字符"/>
    <w:basedOn w:val="47"/>
    <w:link w:val="48"/>
    <w:uiPriority w:val="0"/>
    <w:rPr>
      <w:rFonts w:ascii="Times New Roman" w:hAnsi="Times New Roman" w:cs="Times New Roman"/>
      <w:b w:val="0"/>
      <w:snapToGrid w:val="0"/>
      <w:color w:val="000000"/>
      <w:spacing w:val="-4"/>
      <w:sz w:val="24"/>
      <w:szCs w:val="24"/>
    </w:rPr>
  </w:style>
  <w:style w:type="paragraph" w:customStyle="1" w:styleId="50">
    <w:name w:val="标题6"/>
    <w:link w:val="51"/>
    <w:qFormat/>
    <w:uiPriority w:val="0"/>
    <w:pPr>
      <w:keepNext/>
      <w:numPr>
        <w:ilvl w:val="0"/>
        <w:numId w:val="4"/>
      </w:numPr>
      <w:spacing w:line="360" w:lineRule="auto"/>
      <w:ind w:hanging="692"/>
    </w:pPr>
    <w:rPr>
      <w:rFonts w:ascii="Times New Roman" w:hAnsi="Times New Roman" w:eastAsia="宋体" w:cs="Times New Roman"/>
      <w:snapToGrid w:val="0"/>
      <w:color w:val="000000"/>
      <w:sz w:val="24"/>
      <w:szCs w:val="24"/>
      <w:lang w:val="en-US" w:eastAsia="zh-CN" w:bidi="ar-SA"/>
    </w:rPr>
  </w:style>
  <w:style w:type="character" w:customStyle="1" w:styleId="51">
    <w:name w:val="标题6 字符"/>
    <w:basedOn w:val="49"/>
    <w:link w:val="50"/>
    <w:uiPriority w:val="0"/>
    <w:rPr>
      <w:rFonts w:ascii="Times New Roman" w:hAnsi="Times New Roman" w:cs="Times New Roman"/>
      <w:snapToGrid w:val="0"/>
      <w:color w:val="000000"/>
      <w:spacing w:val="-4"/>
      <w:sz w:val="24"/>
      <w:szCs w:val="24"/>
    </w:rPr>
  </w:style>
  <w:style w:type="paragraph" w:customStyle="1" w:styleId="52">
    <w:name w:val="标题7"/>
    <w:link w:val="53"/>
    <w:qFormat/>
    <w:uiPriority w:val="0"/>
    <w:pPr>
      <w:keepNext/>
      <w:numPr>
        <w:ilvl w:val="0"/>
        <w:numId w:val="5"/>
      </w:numPr>
      <w:spacing w:line="360" w:lineRule="auto"/>
      <w:ind w:left="993"/>
    </w:pPr>
    <w:rPr>
      <w:rFonts w:ascii="Times New Roman" w:hAnsi="Times New Roman" w:eastAsia="宋体" w:cs="Times New Roman"/>
      <w:snapToGrid w:val="0"/>
      <w:color w:val="000000"/>
      <w:sz w:val="24"/>
      <w:szCs w:val="24"/>
      <w:lang w:val="en-US" w:eastAsia="zh-CN" w:bidi="ar-SA"/>
    </w:rPr>
  </w:style>
  <w:style w:type="character" w:customStyle="1" w:styleId="53">
    <w:name w:val="标题7 字符"/>
    <w:basedOn w:val="51"/>
    <w:link w:val="52"/>
    <w:uiPriority w:val="0"/>
    <w:rPr>
      <w:rFonts w:ascii="Times New Roman" w:hAnsi="Times New Roman" w:cs="Times New Roman"/>
      <w:snapToGrid w:val="0"/>
      <w:color w:val="000000"/>
      <w:spacing w:val="-4"/>
      <w:sz w:val="24"/>
      <w:szCs w:val="24"/>
    </w:rPr>
  </w:style>
  <w:style w:type="character" w:customStyle="1" w:styleId="54">
    <w:name w:val="批注框文本 字符"/>
    <w:basedOn w:val="31"/>
    <w:link w:val="17"/>
    <w:semiHidden/>
    <w:uiPriority w:val="99"/>
    <w:rPr>
      <w:rFonts w:ascii="Times New Roman" w:hAnsi="Times New Roman"/>
      <w:sz w:val="18"/>
      <w:szCs w:val="18"/>
    </w:rPr>
  </w:style>
  <w:style w:type="character" w:customStyle="1" w:styleId="55">
    <w:name w:val="批注主题 字符"/>
    <w:basedOn w:val="31"/>
    <w:link w:val="27"/>
    <w:semiHidden/>
    <w:qFormat/>
    <w:uiPriority w:val="0"/>
    <w:rPr>
      <w:b/>
      <w:bCs/>
    </w:rPr>
  </w:style>
  <w:style w:type="character" w:customStyle="1" w:styleId="56">
    <w:name w:val="纯文本 Char1"/>
    <w:basedOn w:val="31"/>
    <w:semiHidden/>
    <w:qFormat/>
    <w:uiPriority w:val="99"/>
    <w:rPr>
      <w:rFonts w:ascii="宋体" w:hAnsi="Courier New" w:eastAsia="宋体" w:cs="Courier New"/>
      <w:szCs w:val="21"/>
    </w:rPr>
  </w:style>
  <w:style w:type="paragraph" w:customStyle="1" w:styleId="57">
    <w:name w:val="表头"/>
    <w:next w:val="58"/>
    <w:link w:val="98"/>
    <w:qFormat/>
    <w:uiPriority w:val="0"/>
    <w:pPr>
      <w:keepNext/>
      <w:widowControl w:val="0"/>
      <w:jc w:val="center"/>
    </w:pPr>
    <w:rPr>
      <w:rFonts w:ascii="Times New Roman" w:hAnsi="Times New Roman" w:eastAsia="宋体" w:cs="Times New Roman"/>
      <w:color w:val="000000"/>
      <w:kern w:val="2"/>
      <w:sz w:val="21"/>
      <w:szCs w:val="26"/>
      <w:lang w:val="en-US" w:eastAsia="zh-CN" w:bidi="ar-SA"/>
    </w:rPr>
  </w:style>
  <w:style w:type="paragraph" w:customStyle="1" w:styleId="58">
    <w:name w:val="表格内容"/>
    <w:qFormat/>
    <w:uiPriority w:val="0"/>
    <w:pPr>
      <w:widowControl w:val="0"/>
      <w:jc w:val="center"/>
    </w:pPr>
    <w:rPr>
      <w:rFonts w:ascii="Times New Roman" w:hAnsi="Times New Roman" w:eastAsia="宋体" w:cs="Times New Roman"/>
      <w:kern w:val="2"/>
      <w:sz w:val="21"/>
      <w:szCs w:val="24"/>
      <w:lang w:val="en-US" w:eastAsia="zh-CN" w:bidi="ar-SA"/>
    </w:rPr>
  </w:style>
  <w:style w:type="character" w:styleId="59">
    <w:name w:val="Placeholder Text"/>
    <w:basedOn w:val="31"/>
    <w:semiHidden/>
    <w:uiPriority w:val="99"/>
    <w:rPr>
      <w:color w:val="808080"/>
    </w:rPr>
  </w:style>
  <w:style w:type="paragraph" w:customStyle="1" w:styleId="60">
    <w:name w:val="标题2"/>
    <w:basedOn w:val="1"/>
    <w:next w:val="1"/>
    <w:link w:val="61"/>
    <w:uiPriority w:val="0"/>
    <w:pPr>
      <w:autoSpaceDE/>
      <w:autoSpaceDN/>
      <w:spacing w:before="240" w:beforeLines="100"/>
      <w:ind w:firstLine="0" w:firstLineChars="0"/>
      <w:jc w:val="left"/>
      <w:textAlignment w:val="auto"/>
      <w:outlineLvl w:val="1"/>
    </w:pPr>
    <w:rPr>
      <w:rFonts w:cs="Times New Roman"/>
      <w:b/>
      <w:snapToGrid/>
      <w:color w:val="auto"/>
      <w:kern w:val="2"/>
    </w:rPr>
  </w:style>
  <w:style w:type="character" w:customStyle="1" w:styleId="61">
    <w:name w:val="标题2 字符"/>
    <w:basedOn w:val="31"/>
    <w:link w:val="60"/>
    <w:uiPriority w:val="0"/>
    <w:rPr>
      <w:rFonts w:ascii="Times New Roman" w:hAnsi="Times New Roman" w:cs="Times New Roman"/>
      <w:b/>
      <w:snapToGrid/>
      <w:color w:val="auto"/>
      <w:kern w:val="2"/>
    </w:rPr>
  </w:style>
  <w:style w:type="character" w:customStyle="1" w:styleId="62">
    <w:name w:val="日期 字符"/>
    <w:basedOn w:val="31"/>
    <w:semiHidden/>
    <w:qFormat/>
    <w:uiPriority w:val="0"/>
    <w:rPr>
      <w:rFonts w:ascii="Times New Roman" w:hAnsi="Times New Roman"/>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批注文字 字符1"/>
    <w:semiHidden/>
    <w:qFormat/>
    <w:uiPriority w:val="0"/>
    <w:rPr>
      <w:rFonts w:ascii="Times New Roman" w:hAnsi="Times New Roman" w:eastAsia="宋体"/>
      <w:sz w:val="24"/>
    </w:rPr>
  </w:style>
  <w:style w:type="table" w:customStyle="1" w:styleId="65">
    <w:name w:val="网格型12"/>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三线7"/>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未处理的提及1"/>
    <w:basedOn w:val="31"/>
    <w:semiHidden/>
    <w:unhideWhenUsed/>
    <w:uiPriority w:val="99"/>
    <w:rPr>
      <w:color w:val="605E5C"/>
      <w:shd w:val="clear" w:color="auto" w:fill="E1DFDD"/>
    </w:rPr>
  </w:style>
  <w:style w:type="paragraph" w:customStyle="1" w:styleId="68">
    <w:name w:val="标题4-1"/>
    <w:link w:val="69"/>
    <w:qFormat/>
    <w:uiPriority w:val="0"/>
    <w:pPr>
      <w:keepNext/>
      <w:numPr>
        <w:ilvl w:val="3"/>
        <w:numId w:val="1"/>
      </w:numPr>
      <w:spacing w:line="360" w:lineRule="auto"/>
      <w:ind w:left="0" w:firstLine="0"/>
    </w:pPr>
    <w:rPr>
      <w:rFonts w:ascii="Times New Roman" w:hAnsi="Times New Roman" w:eastAsia="宋体" w:cs="Times New Roman"/>
      <w:b/>
      <w:bCs/>
      <w:kern w:val="2"/>
      <w:sz w:val="24"/>
      <w:szCs w:val="32"/>
      <w:lang w:val="en-US" w:eastAsia="zh-CN" w:bidi="ar-SA"/>
    </w:rPr>
  </w:style>
  <w:style w:type="character" w:customStyle="1" w:styleId="69">
    <w:name w:val="标题4-1 字符"/>
    <w:basedOn w:val="40"/>
    <w:link w:val="68"/>
    <w:uiPriority w:val="0"/>
    <w:rPr>
      <w:rFonts w:ascii="Times New Roman" w:hAnsi="Times New Roman" w:cs="Times New Roman"/>
      <w:snapToGrid/>
      <w:color w:val="auto"/>
      <w:kern w:val="2"/>
      <w:sz w:val="24"/>
      <w:szCs w:val="32"/>
    </w:rPr>
  </w:style>
  <w:style w:type="paragraph" w:customStyle="1" w:styleId="70">
    <w:name w:val="图头"/>
    <w:next w:val="1"/>
    <w:link w:val="71"/>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1">
    <w:name w:val="图头 字符"/>
    <w:basedOn w:val="31"/>
    <w:link w:val="70"/>
    <w:uiPriority w:val="0"/>
    <w:rPr>
      <w:rFonts w:ascii="Times New Roman" w:hAnsi="Times New Roman" w:cs="Times New Roman"/>
      <w:snapToGrid/>
      <w:color w:val="auto"/>
      <w:kern w:val="2"/>
      <w:sz w:val="21"/>
      <w:szCs w:val="21"/>
    </w:rPr>
  </w:style>
  <w:style w:type="paragraph" w:customStyle="1" w:styleId="72">
    <w:name w:val="图"/>
    <w:next w:val="70"/>
    <w:link w:val="73"/>
    <w:qFormat/>
    <w:uiPriority w:val="0"/>
    <w:pPr>
      <w:keepNext/>
      <w:ind w:left="-50" w:leftChars="-50"/>
      <w:jc w:val="center"/>
    </w:pPr>
    <w:rPr>
      <w:rFonts w:ascii="Times New Roman" w:hAnsi="Times New Roman" w:eastAsia="宋体" w:cs="Arial"/>
      <w:snapToGrid w:val="0"/>
      <w:color w:val="000000" w:themeColor="text1"/>
      <w:sz w:val="24"/>
      <w:szCs w:val="24"/>
      <w:lang w:val="en-US" w:eastAsia="zh-CN" w:bidi="ar-SA"/>
      <w14:textFill>
        <w14:solidFill>
          <w14:schemeClr w14:val="tx1"/>
        </w14:solidFill>
      </w14:textFill>
    </w:rPr>
  </w:style>
  <w:style w:type="character" w:customStyle="1" w:styleId="73">
    <w:name w:val="图 字符"/>
    <w:basedOn w:val="31"/>
    <w:link w:val="72"/>
    <w:uiPriority w:val="0"/>
    <w:rPr>
      <w:rFonts w:ascii="Times New Roman" w:hAnsi="Times New Roman"/>
      <w:color w:val="000000" w:themeColor="text1"/>
      <w14:textFill>
        <w14:solidFill>
          <w14:schemeClr w14:val="tx1"/>
        </w14:solidFill>
      </w14:textFill>
    </w:rPr>
  </w:style>
  <w:style w:type="table" w:customStyle="1" w:styleId="74">
    <w:name w:val="灰度表格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修订1"/>
    <w:hidden/>
    <w:semiHidden/>
    <w:qFormat/>
    <w:uiPriority w:val="99"/>
    <w:rPr>
      <w:rFonts w:ascii="Times New Roman" w:hAnsi="Times New Roman" w:eastAsia="宋体" w:cs="Arial"/>
      <w:snapToGrid w:val="0"/>
      <w:color w:val="000000"/>
      <w:sz w:val="24"/>
      <w:szCs w:val="24"/>
      <w:lang w:val="en-US" w:eastAsia="zh-CN" w:bidi="ar-SA"/>
    </w:rPr>
  </w:style>
  <w:style w:type="table" w:customStyle="1" w:styleId="76">
    <w:name w:val="灰度表格2"/>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121"/>
    <w:basedOn w:val="29"/>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三线71"/>
    <w:basedOn w:val="29"/>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灰度表格11"/>
    <w:basedOn w:val="29"/>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
    <w:name w:val="批注文字 字符"/>
    <w:basedOn w:val="31"/>
    <w:link w:val="9"/>
    <w:semiHidden/>
    <w:qFormat/>
    <w:uiPriority w:val="0"/>
    <w:rPr>
      <w:rFonts w:ascii="Times New Roman" w:hAnsi="Times New Roman"/>
    </w:rPr>
  </w:style>
  <w:style w:type="character" w:customStyle="1" w:styleId="81">
    <w:name w:val="未处理的提及2"/>
    <w:basedOn w:val="31"/>
    <w:semiHidden/>
    <w:unhideWhenUsed/>
    <w:qFormat/>
    <w:uiPriority w:val="99"/>
    <w:rPr>
      <w:color w:val="605E5C"/>
      <w:shd w:val="clear" w:color="auto" w:fill="E1DFDD"/>
    </w:rPr>
  </w:style>
  <w:style w:type="character" w:customStyle="1" w:styleId="82">
    <w:name w:val="未处理的提及3"/>
    <w:basedOn w:val="31"/>
    <w:semiHidden/>
    <w:unhideWhenUsed/>
    <w:qFormat/>
    <w:uiPriority w:val="99"/>
    <w:rPr>
      <w:color w:val="605E5C"/>
      <w:shd w:val="clear" w:color="auto" w:fill="E1DFDD"/>
    </w:rPr>
  </w:style>
  <w:style w:type="character" w:customStyle="1" w:styleId="83">
    <w:name w:val="页眉 字符"/>
    <w:basedOn w:val="31"/>
    <w:link w:val="19"/>
    <w:qFormat/>
    <w:uiPriority w:val="0"/>
    <w:rPr>
      <w:rFonts w:ascii="Times New Roman" w:hAnsi="Times New Roman"/>
      <w:sz w:val="18"/>
      <w:szCs w:val="18"/>
    </w:rPr>
  </w:style>
  <w:style w:type="character" w:customStyle="1" w:styleId="84">
    <w:name w:val="页脚 字符"/>
    <w:basedOn w:val="31"/>
    <w:link w:val="18"/>
    <w:qFormat/>
    <w:uiPriority w:val="99"/>
    <w:rPr>
      <w:rFonts w:ascii="Times New Roman" w:hAnsi="Times New Roman"/>
      <w:sz w:val="18"/>
      <w:szCs w:val="18"/>
    </w:rPr>
  </w:style>
  <w:style w:type="character" w:customStyle="1" w:styleId="85">
    <w:name w:val="正文文本 字符"/>
    <w:basedOn w:val="31"/>
    <w:link w:val="10"/>
    <w:qFormat/>
    <w:uiPriority w:val="99"/>
    <w:rPr>
      <w:rFonts w:asciiTheme="minorHAnsi" w:hAnsiTheme="minorHAnsi" w:eastAsiaTheme="minorEastAsia" w:cstheme="minorBidi"/>
      <w:snapToGrid/>
      <w:color w:val="auto"/>
      <w:kern w:val="2"/>
      <w:sz w:val="21"/>
      <w:szCs w:val="22"/>
    </w:rPr>
  </w:style>
  <w:style w:type="character" w:customStyle="1" w:styleId="86">
    <w:name w:val="正文文本 2 字符"/>
    <w:basedOn w:val="31"/>
    <w:link w:val="25"/>
    <w:qFormat/>
    <w:uiPriority w:val="99"/>
    <w:rPr>
      <w:rFonts w:asciiTheme="minorHAnsi" w:hAnsiTheme="minorHAnsi" w:eastAsiaTheme="minorEastAsia" w:cstheme="minorBidi"/>
      <w:snapToGrid/>
      <w:color w:val="auto"/>
      <w:kern w:val="2"/>
      <w:sz w:val="21"/>
      <w:szCs w:val="22"/>
    </w:rPr>
  </w:style>
  <w:style w:type="character" w:customStyle="1" w:styleId="87">
    <w:name w:val="正文首行缩进 字符"/>
    <w:basedOn w:val="85"/>
    <w:link w:val="28"/>
    <w:qFormat/>
    <w:uiPriority w:val="0"/>
    <w:rPr>
      <w:rFonts w:ascii="Times New Roman" w:hAnsi="Times New Roman" w:eastAsia="仿宋" w:cstheme="minorBidi"/>
      <w:snapToGrid/>
      <w:color w:val="auto"/>
      <w:kern w:val="2"/>
      <w:sz w:val="28"/>
      <w:szCs w:val="22"/>
    </w:rPr>
  </w:style>
  <w:style w:type="paragraph" w:styleId="88">
    <w:name w:val="No Spacing"/>
    <w:basedOn w:val="1"/>
    <w:qFormat/>
    <w:uiPriority w:val="1"/>
    <w:pPr>
      <w:widowControl/>
      <w:spacing w:line="240" w:lineRule="auto"/>
      <w:ind w:firstLine="0" w:firstLineChars="0"/>
      <w:jc w:val="center"/>
    </w:pPr>
    <w:rPr>
      <w:sz w:val="21"/>
    </w:rPr>
  </w:style>
  <w:style w:type="paragraph" w:customStyle="1" w:styleId="89">
    <w:name w:val="图表头"/>
    <w:basedOn w:val="1"/>
    <w:next w:val="1"/>
    <w:qFormat/>
    <w:uiPriority w:val="0"/>
    <w:pPr>
      <w:autoSpaceDE/>
      <w:autoSpaceDN/>
      <w:spacing w:line="240" w:lineRule="auto"/>
      <w:ind w:firstLine="0" w:firstLineChars="0"/>
      <w:jc w:val="center"/>
      <w:textAlignment w:val="auto"/>
    </w:pPr>
    <w:rPr>
      <w:rFonts w:cs="Times New Roman"/>
      <w:snapToGrid/>
      <w:kern w:val="2"/>
      <w:sz w:val="21"/>
      <w:szCs w:val="26"/>
    </w:rPr>
  </w:style>
  <w:style w:type="paragraph" w:styleId="90">
    <w:name w:val="List Paragraph"/>
    <w:basedOn w:val="1"/>
    <w:link w:val="91"/>
    <w:qFormat/>
    <w:uiPriority w:val="99"/>
    <w:pPr>
      <w:widowControl/>
    </w:pPr>
  </w:style>
  <w:style w:type="character" w:customStyle="1" w:styleId="91">
    <w:name w:val="列出段落 字符"/>
    <w:basedOn w:val="31"/>
    <w:link w:val="90"/>
    <w:qFormat/>
    <w:uiPriority w:val="34"/>
    <w:rPr>
      <w:rFonts w:ascii="Times New Roman" w:hAnsi="Times New Roman"/>
    </w:rPr>
  </w:style>
  <w:style w:type="table" w:customStyle="1" w:styleId="92">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2"/>
    <w:basedOn w:val="29"/>
    <w:qFormat/>
    <w:uiPriority w:val="9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4">
    <w:name w:val="TOC 标题1"/>
    <w:basedOn w:val="2"/>
    <w:next w:val="1"/>
    <w:unhideWhenUsed/>
    <w:qFormat/>
    <w:uiPriority w:val="39"/>
    <w:pPr>
      <w:widowControl/>
      <w:autoSpaceDE/>
      <w:autoSpaceDN/>
      <w:adjustRightInd/>
      <w:snapToGrid/>
      <w:spacing w:before="240" w:after="0" w:line="259" w:lineRule="auto"/>
      <w:ind w:firstLine="0" w:firstLineChars="0"/>
      <w:jc w:val="left"/>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95">
    <w:name w:val="Unresolved Mention"/>
    <w:basedOn w:val="31"/>
    <w:semiHidden/>
    <w:unhideWhenUsed/>
    <w:qFormat/>
    <w:uiPriority w:val="99"/>
    <w:rPr>
      <w:color w:val="605E5C"/>
      <w:shd w:val="clear" w:color="auto" w:fill="E1DFDD"/>
    </w:rPr>
  </w:style>
  <w:style w:type="paragraph" w:customStyle="1" w:styleId="96">
    <w:name w:val="表格文字"/>
    <w:basedOn w:val="10"/>
    <w:next w:val="1"/>
    <w:link w:val="97"/>
    <w:qFormat/>
    <w:uiPriority w:val="0"/>
    <w:pPr>
      <w:widowControl/>
      <w:snapToGrid w:val="0"/>
      <w:spacing w:before="60" w:after="160" w:line="259" w:lineRule="auto"/>
      <w:ind w:right="113"/>
      <w:jc w:val="center"/>
    </w:pPr>
    <w:rPr>
      <w:rFonts w:ascii="Times New Roman" w:hAnsi="Times New Roman" w:eastAsia="宋体" w:cs="仿宋_GB2312"/>
      <w:kern w:val="44"/>
      <w:sz w:val="18"/>
      <w:szCs w:val="20"/>
    </w:rPr>
  </w:style>
  <w:style w:type="character" w:customStyle="1" w:styleId="97">
    <w:name w:val="表格文字 Char Char"/>
    <w:link w:val="96"/>
    <w:qFormat/>
    <w:uiPriority w:val="0"/>
    <w:rPr>
      <w:rFonts w:ascii="Times New Roman" w:hAnsi="Times New Roman" w:cs="仿宋_GB2312"/>
      <w:snapToGrid/>
      <w:color w:val="auto"/>
      <w:kern w:val="44"/>
      <w:sz w:val="18"/>
      <w:szCs w:val="20"/>
    </w:rPr>
  </w:style>
  <w:style w:type="character" w:customStyle="1" w:styleId="98">
    <w:name w:val="表头 Char"/>
    <w:link w:val="57"/>
    <w:qFormat/>
    <w:locked/>
    <w:uiPriority w:val="0"/>
    <w:rPr>
      <w:rFonts w:ascii="Times New Roman" w:hAnsi="Times New Roman" w:cs="Times New Roman"/>
      <w:snapToGrid/>
      <w:kern w:val="2"/>
      <w:sz w:val="21"/>
      <w:szCs w:val="26"/>
    </w:rPr>
  </w:style>
  <w:style w:type="character" w:customStyle="1" w:styleId="99">
    <w:name w:val="表格文字 Char"/>
    <w:qFormat/>
    <w:uiPriority w:val="0"/>
    <w:rPr>
      <w:rFonts w:hint="eastAsia" w:ascii="仿宋_GB2312" w:hAnsi="宋体" w:eastAsia="仿宋_GB2312" w:cs="仿宋_GB2312"/>
      <w:color w:val="17365D"/>
      <w:kern w:val="2"/>
      <w:sz w:val="21"/>
      <w:szCs w:val="28"/>
      <w:lang w:val="en-US" w:eastAsia="zh-CN" w:bidi="ar-SA"/>
    </w:rPr>
  </w:style>
  <w:style w:type="character" w:customStyle="1" w:styleId="100">
    <w:name w:val="正文缩进 字符"/>
    <w:link w:val="7"/>
    <w:qFormat/>
    <w:uiPriority w:val="0"/>
    <w:rPr>
      <w:rFonts w:hAnsi="Times New Roman" w:cs="Times New Roman"/>
      <w:kern w:val="2"/>
      <w:sz w:val="24"/>
    </w:rPr>
  </w:style>
  <w:style w:type="paragraph" w:customStyle="1" w:styleId="101">
    <w:name w:val="表格体"/>
    <w:basedOn w:val="88"/>
    <w:link w:val="102"/>
    <w:qFormat/>
    <w:uiPriority w:val="0"/>
    <w:pPr>
      <w:widowControl w:val="0"/>
      <w:autoSpaceDE/>
      <w:autoSpaceDN/>
      <w:adjustRightInd/>
      <w:snapToGrid/>
      <w:spacing w:line="240" w:lineRule="atLeast"/>
      <w:textAlignment w:val="auto"/>
    </w:pPr>
    <w:rPr>
      <w:rFonts w:cs="Times New Roman"/>
      <w:snapToGrid/>
      <w:color w:val="auto"/>
      <w:kern w:val="2"/>
      <w:szCs w:val="22"/>
    </w:rPr>
  </w:style>
  <w:style w:type="character" w:customStyle="1" w:styleId="102">
    <w:name w:val="表格体 Char"/>
    <w:link w:val="101"/>
    <w:qFormat/>
    <w:uiPriority w:val="0"/>
    <w:rPr>
      <w:rFonts w:ascii="Times New Roman" w:hAnsi="Times New Roman" w:cs="Times New Roman"/>
      <w:kern w:val="2"/>
      <w:sz w:val="21"/>
      <w:szCs w:val="22"/>
    </w:rPr>
  </w:style>
  <w:style w:type="character" w:customStyle="1" w:styleId="103">
    <w:name w:val="纯文本 字符"/>
    <w:link w:val="13"/>
    <w:qFormat/>
    <w:uiPriority w:val="0"/>
    <w:rPr>
      <w:rFonts w:hAnsi="Courier New"/>
      <w:kern w:val="2"/>
      <w:sz w:val="21"/>
      <w:szCs w:val="24"/>
    </w:rPr>
  </w:style>
  <w:style w:type="character" w:customStyle="1" w:styleId="104">
    <w:name w:val="纯文本 字符1"/>
    <w:basedOn w:val="31"/>
    <w:semiHidden/>
    <w:qFormat/>
    <w:uiPriority w:val="0"/>
    <w:rPr>
      <w:rFonts w:hAnsi="Courier New" w:cs="Courier New" w:asciiTheme="minorEastAsia" w:eastAsiaTheme="minorEastAsia"/>
      <w:snapToGrid w:val="0"/>
      <w:color w:val="000000"/>
      <w:sz w:val="24"/>
      <w:szCs w:val="24"/>
    </w:rPr>
  </w:style>
  <w:style w:type="character" w:customStyle="1" w:styleId="105">
    <w:name w:val="表头 Char1"/>
    <w:qFormat/>
    <w:uiPriority w:val="0"/>
    <w:rPr>
      <w:spacing w:val="2"/>
      <w:kern w:val="2"/>
      <w:sz w:val="26"/>
      <w:szCs w:val="26"/>
    </w:rPr>
  </w:style>
  <w:style w:type="character" w:customStyle="1" w:styleId="106">
    <w:name w:val="日期 字符1"/>
    <w:basedOn w:val="31"/>
    <w:link w:val="15"/>
    <w:semiHidden/>
    <w:qFormat/>
    <w:uiPriority w:val="0"/>
    <w:rPr>
      <w:rFonts w:ascii="Times New Roman" w:hAnsi="Times New Roman"/>
      <w:snapToGrid w:val="0"/>
      <w:color w:val="000000"/>
      <w:sz w:val="24"/>
      <w:szCs w:val="24"/>
    </w:rPr>
  </w:style>
  <w:style w:type="character" w:customStyle="1" w:styleId="107">
    <w:name w:val="正文缩进 Char"/>
    <w:qFormat/>
    <w:uiPriority w:val="0"/>
    <w:rPr>
      <w:rFonts w:ascii="宋体"/>
      <w:kern w:val="2"/>
      <w:sz w:val="24"/>
    </w:rPr>
  </w:style>
  <w:style w:type="character" w:customStyle="1" w:styleId="108">
    <w:name w:val="正文文本缩进 2 字符"/>
    <w:basedOn w:val="31"/>
    <w:link w:val="16"/>
    <w:semiHidden/>
    <w:qFormat/>
    <w:uiPriority w:val="99"/>
    <w:rPr>
      <w:rFonts w:ascii="Times New Roman" w:hAnsi="Times New Roman"/>
      <w:snapToGrid w:val="0"/>
      <w:color w:val="000000"/>
      <w:sz w:val="24"/>
      <w:szCs w:val="24"/>
    </w:rPr>
  </w:style>
  <w:style w:type="character" w:customStyle="1" w:styleId="109">
    <w:name w:val="环评正文 Char"/>
    <w:link w:val="110"/>
    <w:qFormat/>
    <w:uiPriority w:val="0"/>
    <w:rPr>
      <w:rFonts w:eastAsia="仿宋_GB2312"/>
      <w:kern w:val="2"/>
      <w:sz w:val="24"/>
      <w:szCs w:val="24"/>
    </w:rPr>
  </w:style>
  <w:style w:type="paragraph" w:customStyle="1" w:styleId="110">
    <w:name w:val="环评正文"/>
    <w:basedOn w:val="1"/>
    <w:link w:val="109"/>
    <w:qFormat/>
    <w:uiPriority w:val="0"/>
    <w:pPr>
      <w:autoSpaceDE/>
      <w:autoSpaceDN/>
      <w:adjustRightInd/>
      <w:snapToGrid/>
      <w:spacing w:before="60" w:after="60" w:line="400" w:lineRule="exact"/>
      <w:textAlignment w:val="auto"/>
    </w:pPr>
    <w:rPr>
      <w:rFonts w:ascii="宋体" w:hAnsi="宋体" w:eastAsia="仿宋_GB2312"/>
      <w:snapToGrid/>
      <w:color w:val="auto"/>
      <w:kern w:val="2"/>
    </w:rPr>
  </w:style>
  <w:style w:type="character" w:customStyle="1" w:styleId="111">
    <w:name w:val="表格 Char Char"/>
    <w:link w:val="112"/>
    <w:qFormat/>
    <w:uiPriority w:val="0"/>
    <w:rPr>
      <w:snapToGrid w:val="0"/>
      <w:sz w:val="21"/>
    </w:rPr>
  </w:style>
  <w:style w:type="paragraph" w:customStyle="1" w:styleId="112">
    <w:name w:val="表格"/>
    <w:link w:val="111"/>
    <w:qFormat/>
    <w:uiPriority w:val="0"/>
    <w:pPr>
      <w:spacing w:line="380" w:lineRule="exact"/>
      <w:jc w:val="center"/>
    </w:pPr>
    <w:rPr>
      <w:rFonts w:ascii="宋体" w:hAnsi="宋体" w:eastAsia="宋体" w:cs="Arial"/>
      <w:snapToGrid w:val="0"/>
      <w:sz w:val="21"/>
      <w:lang w:val="en-US" w:eastAsia="zh-CN" w:bidi="ar-SA"/>
    </w:rPr>
  </w:style>
  <w:style w:type="paragraph" w:customStyle="1" w:styleId="113">
    <w:name w:val="松江超硅标题1"/>
    <w:basedOn w:val="2"/>
    <w:qFormat/>
    <w:uiPriority w:val="99"/>
    <w:pPr>
      <w:widowControl/>
      <w:numPr>
        <w:ilvl w:val="0"/>
        <w:numId w:val="6"/>
      </w:numPr>
      <w:autoSpaceDE/>
      <w:autoSpaceDN/>
      <w:adjustRightInd/>
      <w:spacing w:before="0" w:after="0" w:line="360" w:lineRule="auto"/>
      <w:ind w:firstLine="0" w:firstLineChars="0"/>
      <w:textAlignment w:val="auto"/>
    </w:pPr>
    <w:rPr>
      <w:rFonts w:ascii="宋体" w:hAnsi="宋体" w:cs="Times New Roman"/>
      <w:snapToGrid/>
      <w:color w:val="auto"/>
      <w:sz w:val="28"/>
      <w:szCs w:val="28"/>
      <w:lang w:val="zh-CN"/>
    </w:rPr>
  </w:style>
  <w:style w:type="paragraph" w:customStyle="1" w:styleId="114">
    <w:name w:val="松江超硅标题3"/>
    <w:basedOn w:val="4"/>
    <w:qFormat/>
    <w:uiPriority w:val="99"/>
    <w:pPr>
      <w:widowControl/>
      <w:numPr>
        <w:ilvl w:val="2"/>
        <w:numId w:val="6"/>
      </w:numPr>
      <w:adjustRightInd/>
      <w:spacing w:before="0" w:after="0"/>
      <w:ind w:left="0"/>
    </w:pPr>
    <w:rPr>
      <w:kern w:val="0"/>
      <w:sz w:val="24"/>
      <w:szCs w:val="24"/>
      <w:lang w:val="zh-CN"/>
    </w:rPr>
  </w:style>
  <w:style w:type="paragraph" w:customStyle="1" w:styleId="115">
    <w:name w:val="松江超硅标题4"/>
    <w:basedOn w:val="5"/>
    <w:qFormat/>
    <w:uiPriority w:val="99"/>
    <w:pPr>
      <w:widowControl/>
      <w:numPr>
        <w:ilvl w:val="3"/>
        <w:numId w:val="6"/>
      </w:numPr>
      <w:snapToGrid w:val="0"/>
      <w:spacing w:before="0" w:after="0" w:line="360" w:lineRule="auto"/>
      <w:textAlignment w:val="baseline"/>
    </w:pPr>
    <w:rPr>
      <w:rFonts w:ascii="Times New Roman" w:hAnsi="宋体" w:eastAsia="宋体" w:cs="Times New Roman"/>
      <w:b w:val="0"/>
      <w:bCs w:val="0"/>
      <w:kern w:val="0"/>
      <w:sz w:val="24"/>
      <w:szCs w:val="24"/>
      <w:lang w:val="zh-CN"/>
    </w:rPr>
  </w:style>
  <w:style w:type="paragraph" w:customStyle="1" w:styleId="116">
    <w:name w:val="松江超硅标题2"/>
    <w:basedOn w:val="3"/>
    <w:qFormat/>
    <w:uiPriority w:val="99"/>
    <w:pPr>
      <w:keepLines/>
      <w:numPr>
        <w:numId w:val="6"/>
      </w:numPr>
      <w:tabs>
        <w:tab w:val="left" w:pos="432"/>
        <w:tab w:val="left" w:pos="576"/>
      </w:tabs>
      <w:spacing w:before="50" w:beforeLines="0" w:after="50"/>
      <w:jc w:val="both"/>
    </w:pPr>
    <w:rPr>
      <w:rFonts w:ascii="宋体" w:hAnsi="宋体" w:cs="Times New Roman"/>
      <w:bCs/>
      <w:snapToGrid/>
      <w:spacing w:val="0"/>
      <w:kern w:val="2"/>
      <w:sz w:val="24"/>
      <w:szCs w:val="24"/>
      <w:lang w:val="zh-CN"/>
    </w:rPr>
  </w:style>
  <w:style w:type="character" w:customStyle="1" w:styleId="117">
    <w:name w:val="表内字体 Char"/>
    <w:link w:val="118"/>
    <w:qFormat/>
    <w:uiPriority w:val="0"/>
    <w:rPr>
      <w:kern w:val="2"/>
      <w:sz w:val="18"/>
      <w:szCs w:val="18"/>
    </w:rPr>
  </w:style>
  <w:style w:type="paragraph" w:customStyle="1" w:styleId="118">
    <w:name w:val="表内字体"/>
    <w:basedOn w:val="1"/>
    <w:link w:val="117"/>
    <w:qFormat/>
    <w:uiPriority w:val="0"/>
    <w:pPr>
      <w:tabs>
        <w:tab w:val="left" w:pos="0"/>
      </w:tabs>
      <w:autoSpaceDE/>
      <w:autoSpaceDN/>
      <w:adjustRightInd/>
      <w:spacing w:line="240" w:lineRule="auto"/>
      <w:ind w:firstLine="0" w:firstLineChars="0"/>
      <w:jc w:val="center"/>
      <w:textAlignment w:val="auto"/>
    </w:pPr>
    <w:rPr>
      <w:rFonts w:ascii="宋体" w:hAnsi="宋体"/>
      <w:snapToGrid/>
      <w:color w:val="auto"/>
      <w:kern w:val="2"/>
      <w:sz w:val="18"/>
      <w:szCs w:val="18"/>
    </w:rPr>
  </w:style>
  <w:style w:type="paragraph" w:customStyle="1" w:styleId="119">
    <w:name w:val="样式 样式 正文首行缩进 2 + 四号 首行缩进:  2 字符 + 首行缩进:  2 字符"/>
    <w:basedOn w:val="1"/>
    <w:qFormat/>
    <w:uiPriority w:val="0"/>
    <w:pPr>
      <w:autoSpaceDE/>
      <w:autoSpaceDN/>
      <w:adjustRightInd/>
      <w:snapToGrid/>
      <w:ind w:firstLine="480"/>
      <w:textAlignment w:val="auto"/>
    </w:pPr>
    <w:rPr>
      <w:rFonts w:cs="宋体"/>
      <w:snapToGrid/>
      <w:color w:val="auto"/>
      <w:kern w:val="2"/>
    </w:rPr>
  </w:style>
  <w:style w:type="character" w:customStyle="1" w:styleId="120">
    <w:name w:val="普通(网站) 字符"/>
    <w:link w:val="26"/>
    <w:qFormat/>
    <w:uiPriority w:val="99"/>
    <w:rPr>
      <w:rFonts w:cs="宋体"/>
      <w:sz w:val="24"/>
      <w:szCs w:val="24"/>
    </w:rPr>
  </w:style>
  <w:style w:type="paragraph" w:customStyle="1" w:styleId="121">
    <w:name w:val="表格1"/>
    <w:basedOn w:val="1"/>
    <w:qFormat/>
    <w:uiPriority w:val="0"/>
    <w:pPr>
      <w:autoSpaceDE/>
      <w:autoSpaceDN/>
      <w:spacing w:line="240" w:lineRule="auto"/>
      <w:ind w:firstLine="0" w:firstLineChars="0"/>
      <w:jc w:val="center"/>
      <w:textAlignment w:val="auto"/>
    </w:pPr>
    <w:rPr>
      <w:rFonts w:eastAsia="方正仿宋_GBK" w:cs="Times New Roman"/>
      <w:snapToGrid/>
      <w:sz w:val="32"/>
    </w:rPr>
  </w:style>
  <w:style w:type="character" w:customStyle="1" w:styleId="122">
    <w:name w:val="表格 字符"/>
    <w:qFormat/>
    <w:uiPriority w:val="0"/>
    <w:rPr>
      <w:rFonts w:ascii="宋体" w:hAnsi="宋体" w:eastAsia="宋体" w:cs="宋体"/>
      <w:color w:val="000000"/>
      <w:sz w:val="21"/>
    </w:rPr>
  </w:style>
  <w:style w:type="paragraph" w:customStyle="1" w:styleId="123">
    <w:name w:val="0-题注"/>
    <w:basedOn w:val="1"/>
    <w:next w:val="1"/>
    <w:qFormat/>
    <w:uiPriority w:val="0"/>
    <w:pPr>
      <w:widowControl/>
      <w:autoSpaceDE/>
      <w:autoSpaceDN/>
      <w:spacing w:line="240" w:lineRule="auto"/>
      <w:jc w:val="center"/>
      <w:textAlignment w:val="auto"/>
    </w:pPr>
    <w:rPr>
      <w:rFonts w:ascii="Calibri" w:hAnsi="Calibri" w:cs="Times New Roman"/>
      <w:snapToGrid/>
      <w:color w:val="auto"/>
      <w:sz w:val="21"/>
      <w:szCs w:val="21"/>
    </w:rPr>
  </w:style>
  <w:style w:type="paragraph" w:customStyle="1" w:styleId="124">
    <w:name w:val="0-正文"/>
    <w:basedOn w:val="1"/>
    <w:qFormat/>
    <w:uiPriority w:val="0"/>
    <w:pPr>
      <w:widowControl/>
      <w:autoSpaceDE/>
      <w:autoSpaceDN/>
      <w:spacing w:line="520" w:lineRule="exact"/>
      <w:jc w:val="left"/>
      <w:textAlignment w:val="auto"/>
    </w:pPr>
    <w:rPr>
      <w:rFonts w:ascii="Calibri" w:hAnsi="Calibri" w:cs="Times New Roman"/>
      <w:snapToGrid/>
      <w:color w:val="auto"/>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wmf"/><Relationship Id="rId24" Type="http://schemas.openxmlformats.org/officeDocument/2006/relationships/oleObject" Target="embeddings/oleObject3.bin"/><Relationship Id="rId23" Type="http://schemas.openxmlformats.org/officeDocument/2006/relationships/image" Target="media/image3.wmf"/><Relationship Id="rId22" Type="http://schemas.openxmlformats.org/officeDocument/2006/relationships/oleObject" Target="embeddings/oleObject2.bin"/><Relationship Id="rId21" Type="http://schemas.openxmlformats.org/officeDocument/2006/relationships/image" Target="media/image2.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6631;&#39064;&#34920;&#22270;&#22836;&#33258;&#21160;&#32534;&#21495;V0.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8B14A-70FD-4395-98D0-3864F95FAAB7}">
  <ds:schemaRefs/>
</ds:datastoreItem>
</file>

<file path=docProps/app.xml><?xml version="1.0" encoding="utf-8"?>
<Properties xmlns="http://schemas.openxmlformats.org/officeDocument/2006/extended-properties" xmlns:vt="http://schemas.openxmlformats.org/officeDocument/2006/docPropsVTypes">
  <Template>标题表图头自动编号V0.0.2</Template>
  <Pages>55</Pages>
  <Words>31989</Words>
  <Characters>36317</Characters>
  <Lines>295</Lines>
  <Paragraphs>83</Paragraphs>
  <TotalTime>7103</TotalTime>
  <ScaleCrop>false</ScaleCrop>
  <LinksUpToDate>false</LinksUpToDate>
  <CharactersWithSpaces>36781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2024-04-09T03:29:00Z</dcterms:created>
  <dc:creator>FPR</dc:creator>
  <cp:lastModifiedBy>彭水县_彭水县办公室_李辽阔</cp:lastModifiedBy>
  <cp:lastPrinted>2022-06-30T09:12:00Z</cp:lastPrinted>
  <dcterms:modified xsi:type="dcterms:W3CDTF">2025-01-15T03:31:08Z</dcterms:modified>
  <cp:revision>478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C7E27D7F29FB45E4A715F74634238567_13</vt:lpwstr>
  </property>
</Properties>
</file>